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6A172" w14:textId="77777777" w:rsidR="00D24541" w:rsidRDefault="00D24541" w:rsidP="00D24541">
      <w:pPr>
        <w:spacing w:after="200"/>
        <w:ind w:firstLine="708"/>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DÉSÉQUILIBRE MÉTABOLIQUE</w:t>
      </w:r>
    </w:p>
    <w:p w14:paraId="171C6763" w14:textId="77777777" w:rsidR="00D24541" w:rsidRDefault="00D24541" w:rsidP="00D24541">
      <w:pPr>
        <w:spacing w:after="200"/>
        <w:ind w:firstLine="708"/>
        <w:jc w:val="both"/>
        <w:rPr>
          <w:rFonts w:ascii="Times New Roman" w:eastAsia="Times New Roman" w:hAnsi="Times New Roman" w:cs="Times New Roman"/>
          <w:b/>
          <w:sz w:val="20"/>
          <w:szCs w:val="20"/>
        </w:rPr>
      </w:pPr>
      <w:r>
        <w:rPr>
          <w:rFonts w:ascii="Times New Roman" w:eastAsia="Times New Roman" w:hAnsi="Times New Roman" w:cs="Times New Roman"/>
          <w:noProof/>
          <w:sz w:val="32"/>
          <w:szCs w:val="32"/>
        </w:rPr>
        <w:drawing>
          <wp:inline distT="0" distB="0" distL="0" distR="0" wp14:anchorId="6090EEC6" wp14:editId="332518EB">
            <wp:extent cx="623436" cy="367673"/>
            <wp:effectExtent l="0" t="0" r="0" b="0"/>
            <wp:docPr id="8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
                    <a:srcRect/>
                    <a:stretch>
                      <a:fillRect/>
                    </a:stretch>
                  </pic:blipFill>
                  <pic:spPr>
                    <a:xfrm>
                      <a:off x="0" y="0"/>
                      <a:ext cx="623436" cy="367673"/>
                    </a:xfrm>
                    <a:prstGeom prst="rect">
                      <a:avLst/>
                    </a:prstGeom>
                    <a:ln/>
                  </pic:spPr>
                </pic:pic>
              </a:graphicData>
            </a:graphic>
          </wp:inline>
        </w:drawing>
      </w:r>
      <w:r>
        <w:rPr>
          <w:rFonts w:ascii="Times New Roman" w:eastAsia="Times New Roman" w:hAnsi="Times New Roman" w:cs="Times New Roman"/>
          <w:color w:val="292526"/>
          <w:sz w:val="18"/>
          <w:szCs w:val="18"/>
        </w:rPr>
        <w:t xml:space="preserve">  Le processus du métabolisme est unique en ce sens qu'il permet la libération continue d'énergie et qu'il associe cette énergie au fonctionnement physiologique. Par exemple, l'énergie utilisée pour la contraction musculaire provient en grande partie de sources d'énergie stockées dans les cellules musculaires et libérées lors de la contraction du muscle. Comme la plupart de nos sources d'énergie proviennent des nutriments contenus dans les aliments que nous consommons, la capacité à stocker l'énergie et à contrôler sa libération est importante</w:t>
      </w:r>
      <w:r>
        <w:rPr>
          <w:rFonts w:ascii="StoneSerif" w:eastAsia="StoneSerif" w:hAnsi="StoneSerif" w:cs="StoneSerif"/>
          <w:color w:val="292526"/>
          <w:sz w:val="18"/>
          <w:szCs w:val="18"/>
        </w:rPr>
        <w:t>.</w:t>
      </w:r>
    </w:p>
    <w:p w14:paraId="37B6F3B1" w14:textId="77777777" w:rsidR="00D24541" w:rsidRDefault="00D24541" w:rsidP="00D24541">
      <w:pPr>
        <w:spacing w:after="200"/>
        <w:ind w:firstLine="708"/>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La nutrition</w:t>
      </w:r>
    </w:p>
    <w:p w14:paraId="00AFA605"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Vous êtes ce que vous mangez" est une maxime bien connue. Dans une large mesure, l'alimentation détermine l'apparence, les sensations et les comportements d'une personne. Le besoin d'une nutrition adéquate commence au moment de la conception et se poursuit tout au long de la vie. La nutrition fournie par les aliments ou les compléments alimentaires dans les proportions appropriées permet à l'organisme de rester en vie, de se développer physiquement et intellectuellement, de cicatriser et de réparer les tissus, et de conserver l'endurance nécessaire au bien-être.</w:t>
      </w:r>
    </w:p>
    <w:p w14:paraId="6D80C3B0"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L'état nutritionnel décrit l'état de l'organisme lié à la disponibilité et à l'utilisation des nutriments. Les nutriments proviennent du tube digestif par l'ingestion d'aliments ou, dans certains cas, par des aliments liquides administrés directement dans le tube gastro-intestinal par une sonde synthétique (</w:t>
      </w:r>
      <w:r>
        <w:rPr>
          <w:rFonts w:ascii="Times New Roman" w:eastAsia="Times New Roman" w:hAnsi="Times New Roman" w:cs="Times New Roman"/>
          <w:i/>
          <w:color w:val="292526"/>
          <w:sz w:val="18"/>
          <w:szCs w:val="18"/>
        </w:rPr>
        <w:t>c.-à-d. alimentation par sonde</w:t>
      </w:r>
      <w:r>
        <w:rPr>
          <w:rFonts w:ascii="Times New Roman" w:eastAsia="Times New Roman" w:hAnsi="Times New Roman" w:cs="Times New Roman"/>
          <w:color w:val="292526"/>
          <w:sz w:val="18"/>
          <w:szCs w:val="18"/>
        </w:rPr>
        <w:t>). L'exception concerne les personnes atteintes de certaines maladies dans lesquelles le tube digestif est contourné et les nutriments sont perfusés directement dans le système circulatoire. Une fois dans l'organisme, les nutriments sont utilisés comme source d'énergie ou comme éléments constitutifs pour la croissance et la réparation des tissus. Lorsque des nutriments excédentaires sont disponibles, ils sont souvent stockés en vue d'une utilisation ultérieure. Si les nutriments nécessaires ne sont pas disponibles, l'organisme s'adapte en conservant et en utilisant ses réserves de nutriments.</w:t>
      </w:r>
    </w:p>
    <w:p w14:paraId="7FE027C7"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Un régime alimentaire adéquat doit répondre aux besoins énergétiques de l'organisme et fournir un minimum de glucides, de protéines (y compris tous les </w:t>
      </w:r>
      <w:r>
        <w:rPr>
          <w:rFonts w:ascii="Times New Roman" w:eastAsia="Times New Roman" w:hAnsi="Times New Roman" w:cs="Times New Roman"/>
          <w:i/>
          <w:sz w:val="18"/>
          <w:szCs w:val="18"/>
        </w:rPr>
        <w:t>acides aminés essentiels</w:t>
      </w:r>
      <w:r>
        <w:rPr>
          <w:rFonts w:ascii="Times New Roman" w:eastAsia="Times New Roman" w:hAnsi="Times New Roman" w:cs="Times New Roman"/>
          <w:sz w:val="18"/>
          <w:szCs w:val="18"/>
        </w:rPr>
        <w:t xml:space="preserve">) et de graisses (y compris les </w:t>
      </w:r>
      <w:r>
        <w:rPr>
          <w:rFonts w:ascii="Times New Roman" w:eastAsia="Times New Roman" w:hAnsi="Times New Roman" w:cs="Times New Roman"/>
          <w:i/>
          <w:sz w:val="18"/>
          <w:szCs w:val="18"/>
        </w:rPr>
        <w:t>acides gras essentiels</w:t>
      </w:r>
      <w:r>
        <w:rPr>
          <w:rFonts w:ascii="Times New Roman" w:eastAsia="Times New Roman" w:hAnsi="Times New Roman" w:cs="Times New Roman"/>
          <w:sz w:val="18"/>
          <w:szCs w:val="18"/>
        </w:rPr>
        <w:t>). Les minéraux (y compris les oligo-éléments), les vitamines et une quantité suffisante d'eau sont également essentiels. Pour assurer un temps de passage normal, en particulier dans le côlon, l'alimentation doit également fournir une quantité suffisante de fourrage grossier (fibres végétales non digestibles - cellulose, lignine, etc.).</w:t>
      </w:r>
    </w:p>
    <w:p w14:paraId="5562F7CD"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La </w:t>
      </w:r>
      <w:r>
        <w:rPr>
          <w:rFonts w:ascii="Times New Roman" w:eastAsia="Times New Roman" w:hAnsi="Times New Roman" w:cs="Times New Roman"/>
          <w:i/>
          <w:sz w:val="18"/>
          <w:szCs w:val="18"/>
        </w:rPr>
        <w:t xml:space="preserve">dépense énergétique totale </w:t>
      </w:r>
      <w:r>
        <w:rPr>
          <w:rFonts w:ascii="Times New Roman" w:eastAsia="Times New Roman" w:hAnsi="Times New Roman" w:cs="Times New Roman"/>
          <w:sz w:val="18"/>
          <w:szCs w:val="18"/>
        </w:rPr>
        <w:t>(</w:t>
      </w:r>
      <w:r>
        <w:rPr>
          <w:rFonts w:ascii="Times New Roman" w:eastAsia="Times New Roman" w:hAnsi="Times New Roman" w:cs="Times New Roman"/>
          <w:i/>
          <w:sz w:val="18"/>
          <w:szCs w:val="18"/>
        </w:rPr>
        <w:t>DET</w:t>
      </w:r>
      <w:r>
        <w:rPr>
          <w:rFonts w:ascii="Times New Roman" w:eastAsia="Times New Roman" w:hAnsi="Times New Roman" w:cs="Times New Roman"/>
          <w:sz w:val="18"/>
          <w:szCs w:val="18"/>
        </w:rPr>
        <w:t xml:space="preserve">) ou le </w:t>
      </w:r>
      <w:r>
        <w:rPr>
          <w:rFonts w:ascii="Times New Roman" w:eastAsia="Times New Roman" w:hAnsi="Times New Roman" w:cs="Times New Roman"/>
          <w:i/>
          <w:sz w:val="18"/>
          <w:szCs w:val="18"/>
        </w:rPr>
        <w:t xml:space="preserve">taux métabolique total </w:t>
      </w:r>
      <w:r>
        <w:rPr>
          <w:rFonts w:ascii="Times New Roman" w:eastAsia="Times New Roman" w:hAnsi="Times New Roman" w:cs="Times New Roman"/>
          <w:sz w:val="18"/>
          <w:szCs w:val="18"/>
        </w:rPr>
        <w:t xml:space="preserve">se compose (1) du </w:t>
      </w:r>
      <w:r>
        <w:rPr>
          <w:rFonts w:ascii="Times New Roman" w:eastAsia="Times New Roman" w:hAnsi="Times New Roman" w:cs="Times New Roman"/>
          <w:i/>
          <w:sz w:val="18"/>
          <w:szCs w:val="18"/>
        </w:rPr>
        <w:t xml:space="preserve">taux métabolique de base </w:t>
      </w:r>
      <w:r>
        <w:rPr>
          <w:rFonts w:ascii="Times New Roman" w:eastAsia="Times New Roman" w:hAnsi="Times New Roman" w:cs="Times New Roman"/>
          <w:sz w:val="18"/>
          <w:szCs w:val="18"/>
        </w:rPr>
        <w:t xml:space="preserve">(TMB), (2) des </w:t>
      </w:r>
      <w:r>
        <w:rPr>
          <w:rFonts w:ascii="Times New Roman" w:eastAsia="Times New Roman" w:hAnsi="Times New Roman" w:cs="Times New Roman"/>
          <w:i/>
          <w:sz w:val="18"/>
          <w:szCs w:val="18"/>
        </w:rPr>
        <w:t xml:space="preserve">coûts énergétiques liés à l'activité </w:t>
      </w:r>
      <w:r>
        <w:rPr>
          <w:rFonts w:ascii="Times New Roman" w:eastAsia="Times New Roman" w:hAnsi="Times New Roman" w:cs="Times New Roman"/>
          <w:sz w:val="18"/>
          <w:szCs w:val="18"/>
        </w:rPr>
        <w:t xml:space="preserve">et (3) </w:t>
      </w:r>
      <w:r>
        <w:rPr>
          <w:rFonts w:ascii="Times New Roman" w:eastAsia="Times New Roman" w:hAnsi="Times New Roman" w:cs="Times New Roman"/>
          <w:i/>
          <w:sz w:val="18"/>
          <w:szCs w:val="18"/>
        </w:rPr>
        <w:t xml:space="preserve">de la thermogenèse induite par l'alimentation </w:t>
      </w:r>
      <w:r>
        <w:rPr>
          <w:rFonts w:ascii="Times New Roman" w:eastAsia="Times New Roman" w:hAnsi="Times New Roman" w:cs="Times New Roman"/>
          <w:sz w:val="18"/>
          <w:szCs w:val="18"/>
        </w:rPr>
        <w:t xml:space="preserve">(TIA). Le TEE est égal au BMR lorsqu'il est mesuré (a) le matin, (b) 20 heures après le dernier repas, (3) au repos, en position allongée, (4) à une température corporelle normale et (5) à une température ambiante confortable. Le BMR varie en fonction du sexe, de l'âge, de la taille et du poids. Le BMR d'un jeune adulte est d'environ 7300 kJ/jour (1740 kcal/jour) chez les hommes, et d'environ 20 % inférieur chez les femmes. Au cours d'une activité physique, l'ETR augmente dans les proportions suivantes 1,2 fois pour une position assise tranquille, 3,2 fois pour une marche normale et 8 fois pour un travail forestier. Les sportifs de haut niveau peuvent fournir jusqu'à 1600 W (= J/s) pendant deux heures (par exemple, lors d'un marathon), mais leur TEE quotidien est beaucoup plus faible. L'ETP augmente également en cas de blessures plus ou moins graves (1,6 fois pour la septicémie, 2,1 fois pour les brûlures). Une fièvre de </w:t>
      </w:r>
      <w:r>
        <w:rPr>
          <w:rFonts w:ascii="Calibri" w:eastAsia="Calibri" w:hAnsi="Calibri" w:cs="Calibri"/>
          <w:sz w:val="18"/>
          <w:szCs w:val="18"/>
        </w:rPr>
        <w:t xml:space="preserve">1⁰C </w:t>
      </w:r>
      <w:r>
        <w:rPr>
          <w:rFonts w:ascii="Times New Roman" w:eastAsia="Times New Roman" w:hAnsi="Times New Roman" w:cs="Times New Roman"/>
          <w:sz w:val="18"/>
          <w:szCs w:val="18"/>
        </w:rPr>
        <w:t>multiplie l'ETP par 1,13.</w:t>
      </w:r>
    </w:p>
    <w:p w14:paraId="50C94CB6"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Les protéines, les graisses et les hydrates de carbone sont les trois substances énergétiques de base.</w:t>
      </w:r>
    </w:p>
    <w:p w14:paraId="5590C8C5"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Un apport adéquat en protéines est nécessaire pour maintenir un bon équilibre</w:t>
      </w:r>
      <w:r>
        <w:rPr>
          <w:rFonts w:ascii="Times New Roman" w:eastAsia="Times New Roman" w:hAnsi="Times New Roman" w:cs="Times New Roman"/>
          <w:i/>
          <w:sz w:val="18"/>
          <w:szCs w:val="18"/>
        </w:rPr>
        <w:t xml:space="preserve"> azoté</w:t>
      </w:r>
      <w:r>
        <w:rPr>
          <w:rFonts w:ascii="Times New Roman" w:eastAsia="Times New Roman" w:hAnsi="Times New Roman" w:cs="Times New Roman"/>
          <w:sz w:val="18"/>
          <w:szCs w:val="18"/>
        </w:rPr>
        <w:t xml:space="preserve">, c'est-à-dire l'équilibre entre l'apport alimentaire et la production excrétoire d'azote. Les besoins minimaux en protéines sont de 0,5 g/kg de poids corporel par jour (minimum fonctionnel). Environ la moitié des protéines alimentaires doivent être des </w:t>
      </w:r>
      <w:r>
        <w:rPr>
          <w:rFonts w:ascii="Times New Roman" w:eastAsia="Times New Roman" w:hAnsi="Times New Roman" w:cs="Times New Roman"/>
          <w:i/>
          <w:sz w:val="18"/>
          <w:szCs w:val="18"/>
        </w:rPr>
        <w:t xml:space="preserve">protéines animales </w:t>
      </w:r>
      <w:r>
        <w:rPr>
          <w:rFonts w:ascii="Times New Roman" w:eastAsia="Times New Roman" w:hAnsi="Times New Roman" w:cs="Times New Roman"/>
          <w:sz w:val="18"/>
          <w:szCs w:val="18"/>
        </w:rPr>
        <w:t>(viande, poisson, lait et œufs) afin de garantir un apport suffisant en acides aminés essentiels tels que l'</w:t>
      </w:r>
      <w:r>
        <w:rPr>
          <w:rFonts w:ascii="Times New Roman" w:eastAsia="Times New Roman" w:hAnsi="Times New Roman" w:cs="Times New Roman"/>
          <w:i/>
          <w:sz w:val="18"/>
          <w:szCs w:val="18"/>
        </w:rPr>
        <w:t xml:space="preserve">histidine, l'isoleucine, la leucine, la lysine, la méthionine, la phénylalanine, la thréonine, le tryptophane </w:t>
      </w:r>
      <w:r>
        <w:rPr>
          <w:rFonts w:ascii="Times New Roman" w:eastAsia="Times New Roman" w:hAnsi="Times New Roman" w:cs="Times New Roman"/>
          <w:sz w:val="18"/>
          <w:szCs w:val="18"/>
        </w:rPr>
        <w:t xml:space="preserve">et la </w:t>
      </w:r>
      <w:r>
        <w:rPr>
          <w:rFonts w:ascii="Times New Roman" w:eastAsia="Times New Roman" w:hAnsi="Times New Roman" w:cs="Times New Roman"/>
          <w:i/>
          <w:sz w:val="18"/>
          <w:szCs w:val="18"/>
        </w:rPr>
        <w:t xml:space="preserve">valine </w:t>
      </w:r>
      <w:r>
        <w:rPr>
          <w:rFonts w:ascii="Times New Roman" w:eastAsia="Times New Roman" w:hAnsi="Times New Roman" w:cs="Times New Roman"/>
          <w:sz w:val="18"/>
          <w:szCs w:val="18"/>
        </w:rPr>
        <w:t xml:space="preserve">(les enfants ont également besoin d'arginine). La teneur de la plupart des protéines végétales ne représente qu'environ 50 % de celle des protéines animales. Les glucides (amidon, sucre, glycogène) et les lipides (graisses et huiles animales et végétales) fournissent la plus grande partie des besoins énergétiques. Ce sont des sources d'énergie fondamentalement interchangeables. La contribution énergétique des glucides peut tomber à environ 10 % (normalement 60 %) avant que des perturbations métaboliques ne surviennent. Les graisses ne sont pas essentielles si l'apport en </w:t>
      </w:r>
      <w:r>
        <w:rPr>
          <w:rFonts w:ascii="Times New Roman" w:eastAsia="Times New Roman" w:hAnsi="Times New Roman" w:cs="Times New Roman"/>
          <w:i/>
          <w:sz w:val="18"/>
          <w:szCs w:val="18"/>
        </w:rPr>
        <w:t xml:space="preserve">vitamines liposolubles </w:t>
      </w:r>
      <w:r>
        <w:rPr>
          <w:rFonts w:ascii="Times New Roman" w:eastAsia="Times New Roman" w:hAnsi="Times New Roman" w:cs="Times New Roman"/>
          <w:sz w:val="18"/>
          <w:szCs w:val="18"/>
        </w:rPr>
        <w:t xml:space="preserve">(vitamines E, D, K et A) et en </w:t>
      </w:r>
      <w:r>
        <w:rPr>
          <w:rFonts w:ascii="Times New Roman" w:eastAsia="Times New Roman" w:hAnsi="Times New Roman" w:cs="Times New Roman"/>
          <w:i/>
          <w:sz w:val="18"/>
          <w:szCs w:val="18"/>
        </w:rPr>
        <w:t xml:space="preserve">acides gras essentiels </w:t>
      </w:r>
      <w:r>
        <w:rPr>
          <w:rFonts w:ascii="Times New Roman" w:eastAsia="Times New Roman" w:hAnsi="Times New Roman" w:cs="Times New Roman"/>
          <w:sz w:val="18"/>
          <w:szCs w:val="18"/>
        </w:rPr>
        <w:t>(</w:t>
      </w:r>
      <w:r>
        <w:rPr>
          <w:rFonts w:ascii="Times New Roman" w:eastAsia="Times New Roman" w:hAnsi="Times New Roman" w:cs="Times New Roman"/>
          <w:i/>
          <w:sz w:val="18"/>
          <w:szCs w:val="18"/>
        </w:rPr>
        <w:t>acide linoléique</w:t>
      </w:r>
      <w:r>
        <w:rPr>
          <w:rFonts w:ascii="Times New Roman" w:eastAsia="Times New Roman" w:hAnsi="Times New Roman" w:cs="Times New Roman"/>
          <w:sz w:val="18"/>
          <w:szCs w:val="18"/>
        </w:rPr>
        <w:t>) est suffisant. Environ 25 à 30 % de l'énergie alimentaire est apportée par les graisses (dont un tiers sous forme d'acides gras essentiels), bien que la proportion augmente en fonction des besoins énergétiques (par exemple, environ 40 % lors d'un travail physique intense). Les régimes alimentaires occidentaux contiennent généralement trop d'énergie (plus de graisses que de glucides) compte tenu du niveau d'activité physique généralement faible du mode de vie occidental. L'alcool contient également de l'énergie superflue (environ 30 kJ/g = 7,2 kcal/g). L'apport excessif d'énergie alimentaire entraîne une prise de poids et l'obésité.</w:t>
      </w:r>
    </w:p>
    <w:p w14:paraId="2E730190"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Un apport suffisant en minéraux (composés inorganiques), notamment en </w:t>
      </w:r>
      <w:r>
        <w:rPr>
          <w:rFonts w:ascii="Times New Roman" w:eastAsia="Times New Roman" w:hAnsi="Times New Roman" w:cs="Times New Roman"/>
          <w:i/>
          <w:sz w:val="18"/>
          <w:szCs w:val="18"/>
        </w:rPr>
        <w:t xml:space="preserve">calcium </w:t>
      </w:r>
      <w:r>
        <w:rPr>
          <w:rFonts w:ascii="Times New Roman" w:eastAsia="Times New Roman" w:hAnsi="Times New Roman" w:cs="Times New Roman"/>
          <w:sz w:val="18"/>
          <w:szCs w:val="18"/>
        </w:rPr>
        <w:t xml:space="preserve">(800 mg/jour), en </w:t>
      </w:r>
      <w:r>
        <w:rPr>
          <w:rFonts w:ascii="Times New Roman" w:eastAsia="Times New Roman" w:hAnsi="Times New Roman" w:cs="Times New Roman"/>
          <w:i/>
          <w:sz w:val="18"/>
          <w:szCs w:val="18"/>
        </w:rPr>
        <w:t xml:space="preserve">fer </w:t>
      </w:r>
      <w:r>
        <w:rPr>
          <w:rFonts w:ascii="Times New Roman" w:eastAsia="Times New Roman" w:hAnsi="Times New Roman" w:cs="Times New Roman"/>
          <w:sz w:val="18"/>
          <w:szCs w:val="18"/>
        </w:rPr>
        <w:t xml:space="preserve">(10-20 mg/jour) et en </w:t>
      </w:r>
      <w:r>
        <w:rPr>
          <w:rFonts w:ascii="Times New Roman" w:eastAsia="Times New Roman" w:hAnsi="Times New Roman" w:cs="Times New Roman"/>
          <w:i/>
          <w:sz w:val="18"/>
          <w:szCs w:val="18"/>
        </w:rPr>
        <w:t xml:space="preserve">iode </w:t>
      </w:r>
      <w:r>
        <w:rPr>
          <w:rFonts w:ascii="Times New Roman" w:eastAsia="Times New Roman" w:hAnsi="Times New Roman" w:cs="Times New Roman"/>
          <w:sz w:val="18"/>
          <w:szCs w:val="18"/>
        </w:rPr>
        <w:t>(0,15 mg/jour), est indispensable au bon fonctionnement de l'organisme. De nombreux oligo-éléments (As, F, Cu, Si, V, Sn, Ni, Se, Mn, Mo, Cr, Co) sont également essentiels. L'alimentation normale en fournit des quantités suffisantes, mais un apport excessif a des effets toxiques. Les vitamines (A, B</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 B</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 B</w:t>
      </w:r>
      <w:r>
        <w:rPr>
          <w:rFonts w:ascii="Times New Roman" w:eastAsia="Times New Roman" w:hAnsi="Times New Roman" w:cs="Times New Roman"/>
          <w:sz w:val="18"/>
          <w:szCs w:val="18"/>
          <w:vertAlign w:val="subscript"/>
        </w:rPr>
        <w:t>6</w:t>
      </w:r>
      <w:r>
        <w:rPr>
          <w:rFonts w:ascii="Times New Roman" w:eastAsia="Times New Roman" w:hAnsi="Times New Roman" w:cs="Times New Roman"/>
          <w:sz w:val="18"/>
          <w:szCs w:val="18"/>
        </w:rPr>
        <w:t xml:space="preserve"> , B</w:t>
      </w:r>
      <w:r>
        <w:rPr>
          <w:rFonts w:ascii="Times New Roman" w:eastAsia="Times New Roman" w:hAnsi="Times New Roman" w:cs="Times New Roman"/>
          <w:sz w:val="18"/>
          <w:szCs w:val="18"/>
          <w:vertAlign w:val="subscript"/>
        </w:rPr>
        <w:t>12</w:t>
      </w:r>
      <w:r>
        <w:rPr>
          <w:rFonts w:ascii="Times New Roman" w:eastAsia="Times New Roman" w:hAnsi="Times New Roman" w:cs="Times New Roman"/>
          <w:sz w:val="18"/>
          <w:szCs w:val="18"/>
        </w:rPr>
        <w:t xml:space="preserve"> , C, D</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 D</w:t>
      </w:r>
      <w:r>
        <w:rPr>
          <w:rFonts w:ascii="Times New Roman" w:eastAsia="Times New Roman" w:hAnsi="Times New Roman" w:cs="Times New Roman"/>
          <w:sz w:val="18"/>
          <w:szCs w:val="18"/>
          <w:vertAlign w:val="subscript"/>
        </w:rPr>
        <w:t>3</w:t>
      </w:r>
      <w:r>
        <w:rPr>
          <w:rFonts w:ascii="Times New Roman" w:eastAsia="Times New Roman" w:hAnsi="Times New Roman" w:cs="Times New Roman"/>
          <w:sz w:val="18"/>
          <w:szCs w:val="18"/>
        </w:rPr>
        <w:t xml:space="preserve"> , E, H (biotine), K</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 K</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 acide folique, niacinamide, acide pantothénique) sont des composés qui jouent un rôle essentiel dans le métabolisme (généralement en tant que </w:t>
      </w:r>
      <w:r>
        <w:rPr>
          <w:rFonts w:ascii="Times New Roman" w:eastAsia="Times New Roman" w:hAnsi="Times New Roman" w:cs="Times New Roman"/>
          <w:i/>
          <w:sz w:val="18"/>
          <w:szCs w:val="18"/>
        </w:rPr>
        <w:t>coenzymes</w:t>
      </w:r>
      <w:r>
        <w:rPr>
          <w:rFonts w:ascii="Times New Roman" w:eastAsia="Times New Roman" w:hAnsi="Times New Roman" w:cs="Times New Roman"/>
          <w:sz w:val="18"/>
          <w:szCs w:val="18"/>
        </w:rPr>
        <w:t>). Cependant, l'organisme ne peut pas les produire (ou en quantité suffisante). Une carence en vitamines (</w:t>
      </w:r>
      <w:r>
        <w:rPr>
          <w:rFonts w:ascii="Times New Roman" w:eastAsia="Times New Roman" w:hAnsi="Times New Roman" w:cs="Times New Roman"/>
          <w:i/>
          <w:sz w:val="18"/>
          <w:szCs w:val="18"/>
        </w:rPr>
        <w:t>hypovitaminose</w:t>
      </w:r>
      <w:r>
        <w:rPr>
          <w:rFonts w:ascii="Times New Roman" w:eastAsia="Times New Roman" w:hAnsi="Times New Roman" w:cs="Times New Roman"/>
          <w:sz w:val="18"/>
          <w:szCs w:val="18"/>
        </w:rPr>
        <w:t>) peut entraîner des troubles spécifiques tels que l'héméralopie (vit. A), le scorbut (vit. C), le rachitisme (vit. D = calciférol), l'anémie (vit. B</w:t>
      </w:r>
      <w:r>
        <w:rPr>
          <w:rFonts w:ascii="Times New Roman" w:eastAsia="Times New Roman" w:hAnsi="Times New Roman" w:cs="Times New Roman"/>
          <w:sz w:val="18"/>
          <w:szCs w:val="18"/>
          <w:vertAlign w:val="subscript"/>
        </w:rPr>
        <w:t>12</w:t>
      </w:r>
      <w:r>
        <w:rPr>
          <w:rFonts w:ascii="Times New Roman" w:eastAsia="Times New Roman" w:hAnsi="Times New Roman" w:cs="Times New Roman"/>
          <w:sz w:val="18"/>
          <w:szCs w:val="18"/>
        </w:rPr>
        <w:t xml:space="preserve"> = cobalamine ; acide folique) et les troubles de la coagulation (vit. K). Un apport excessif de certaines vitamines comme les vitamines A et D peut en revanche être toxique (hypervitaminose).</w:t>
      </w:r>
    </w:p>
    <w:p w14:paraId="0D0FBC8B" w14:textId="77777777" w:rsidR="00D24541" w:rsidRDefault="00D24541" w:rsidP="00D24541">
      <w:pPr>
        <w:spacing w:line="240" w:lineRule="auto"/>
        <w:ind w:firstLine="708"/>
        <w:rPr>
          <w:rFonts w:ascii="Times New Roman" w:eastAsia="Times New Roman" w:hAnsi="Times New Roman" w:cs="Times New Roman"/>
          <w:b/>
          <w:sz w:val="18"/>
          <w:szCs w:val="18"/>
        </w:rPr>
      </w:pPr>
      <w:r>
        <w:rPr>
          <w:rFonts w:ascii="Times New Roman" w:eastAsia="Times New Roman" w:hAnsi="Times New Roman" w:cs="Times New Roman"/>
          <w:b/>
          <w:sz w:val="18"/>
          <w:szCs w:val="18"/>
        </w:rPr>
        <w:t>Anabolisme et catabolisme</w:t>
      </w:r>
    </w:p>
    <w:p w14:paraId="2FC0E20F" w14:textId="77777777" w:rsidR="00D24541" w:rsidRDefault="00D24541" w:rsidP="00D24541">
      <w:pPr>
        <w:spacing w:line="240" w:lineRule="auto"/>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 xml:space="preserve">          Le métabolisme comporte deux phases : l'anabolisme et le catabolisme.</w:t>
      </w:r>
    </w:p>
    <w:p w14:paraId="15AD30D2" w14:textId="77777777" w:rsidR="00D24541" w:rsidRDefault="00D24541" w:rsidP="00D24541">
      <w:pPr>
        <w:spacing w:line="240" w:lineRule="auto"/>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lastRenderedPageBreak/>
        <w:t xml:space="preserve">        L'</w:t>
      </w:r>
      <w:r>
        <w:rPr>
          <w:rFonts w:ascii="Times New Roman" w:eastAsia="Times New Roman" w:hAnsi="Times New Roman" w:cs="Times New Roman"/>
          <w:i/>
          <w:color w:val="292526"/>
          <w:sz w:val="18"/>
          <w:szCs w:val="18"/>
        </w:rPr>
        <w:t xml:space="preserve">        anabolisme </w:t>
      </w:r>
      <w:r>
        <w:rPr>
          <w:rFonts w:ascii="Times New Roman" w:eastAsia="Times New Roman" w:hAnsi="Times New Roman" w:cs="Times New Roman"/>
          <w:color w:val="292526"/>
          <w:sz w:val="18"/>
          <w:szCs w:val="18"/>
        </w:rPr>
        <w:t xml:space="preserve">est la phase de stockage métabolique et de synthèse des constituants cellulaires. L'anabolisme ne fournit pas d'énergie à l'organisme, il en nécessite. Le </w:t>
      </w:r>
      <w:r>
        <w:rPr>
          <w:rFonts w:ascii="Times New Roman" w:eastAsia="Times New Roman" w:hAnsi="Times New Roman" w:cs="Times New Roman"/>
          <w:i/>
          <w:color w:val="292526"/>
          <w:sz w:val="18"/>
          <w:szCs w:val="18"/>
        </w:rPr>
        <w:t xml:space="preserve">catabolisme </w:t>
      </w:r>
      <w:r>
        <w:rPr>
          <w:rFonts w:ascii="Times New Roman" w:eastAsia="Times New Roman" w:hAnsi="Times New Roman" w:cs="Times New Roman"/>
          <w:color w:val="292526"/>
          <w:sz w:val="18"/>
          <w:szCs w:val="18"/>
        </w:rPr>
        <w:t xml:space="preserve">implique la décomposition de molécules complexes en substances qui peuvent être utilisées pour produire de l'énergie. Les intermédiaires chimiques de l'anabolisme et du catabolisme sont appelés </w:t>
      </w:r>
      <w:r>
        <w:rPr>
          <w:rFonts w:ascii="Times New Roman" w:eastAsia="Times New Roman" w:hAnsi="Times New Roman" w:cs="Times New Roman"/>
          <w:i/>
          <w:color w:val="292526"/>
          <w:sz w:val="18"/>
          <w:szCs w:val="18"/>
        </w:rPr>
        <w:t xml:space="preserve">métabolites </w:t>
      </w:r>
      <w:r>
        <w:rPr>
          <w:rFonts w:ascii="Times New Roman" w:eastAsia="Times New Roman" w:hAnsi="Times New Roman" w:cs="Times New Roman"/>
          <w:color w:val="292526"/>
          <w:sz w:val="18"/>
          <w:szCs w:val="18"/>
        </w:rPr>
        <w:t>(</w:t>
      </w:r>
      <w:r>
        <w:rPr>
          <w:rFonts w:ascii="Times New Roman" w:eastAsia="Times New Roman" w:hAnsi="Times New Roman" w:cs="Times New Roman"/>
          <w:i/>
          <w:color w:val="292526"/>
          <w:sz w:val="18"/>
          <w:szCs w:val="18"/>
        </w:rPr>
        <w:t>par exemple, l'</w:t>
      </w:r>
      <w:r>
        <w:rPr>
          <w:rFonts w:ascii="Times New Roman" w:eastAsia="Times New Roman" w:hAnsi="Times New Roman" w:cs="Times New Roman"/>
          <w:color w:val="292526"/>
          <w:sz w:val="18"/>
          <w:szCs w:val="18"/>
        </w:rPr>
        <w:t xml:space="preserve">acide lactique est un métabolite formé lorsque le glucose est décomposé en l'absence d'oxygène). L'anabolisme et le catabolisme sont catalysés par des systèmes enzymatiques situés dans les cellules du corps. Un </w:t>
      </w:r>
      <w:r>
        <w:rPr>
          <w:rFonts w:ascii="Times New Roman" w:eastAsia="Times New Roman" w:hAnsi="Times New Roman" w:cs="Times New Roman"/>
          <w:i/>
          <w:color w:val="292526"/>
          <w:sz w:val="18"/>
          <w:szCs w:val="18"/>
        </w:rPr>
        <w:t xml:space="preserve">substrat </w:t>
      </w:r>
      <w:r>
        <w:rPr>
          <w:rFonts w:ascii="Times New Roman" w:eastAsia="Times New Roman" w:hAnsi="Times New Roman" w:cs="Times New Roman"/>
          <w:color w:val="292526"/>
          <w:sz w:val="18"/>
          <w:szCs w:val="18"/>
        </w:rPr>
        <w:t>est une substance sur laquelle agit une enzyme. Les systèmes enzymatiques transforment sélectivement les substrats combustibles en énergie cellulaire et facilitent l'utilisation de l'énergie dans le processus d'assemblage des molécules pour former des substrats énergétiques et des formes de stockage de l'énergie. L'énergie corporelle ne pouvant être stockée sous forme de chaleur, les processus oxydatifs cellulaires qui libèrent de l'énergie sont des réactions à basse température qui convertissent les composants alimentaires en énergie chimique pouvant être stockée. L'organisme transforme les glucides, les graisses et les protéines en un composé intermédiaire, l'</w:t>
      </w:r>
      <w:r>
        <w:rPr>
          <w:rFonts w:ascii="Times New Roman" w:eastAsia="Times New Roman" w:hAnsi="Times New Roman" w:cs="Times New Roman"/>
          <w:i/>
          <w:color w:val="292526"/>
          <w:sz w:val="18"/>
          <w:szCs w:val="18"/>
        </w:rPr>
        <w:t xml:space="preserve">adénosine triphosphate </w:t>
      </w:r>
      <w:r>
        <w:rPr>
          <w:rFonts w:ascii="Times New Roman" w:eastAsia="Times New Roman" w:hAnsi="Times New Roman" w:cs="Times New Roman"/>
          <w:color w:val="292526"/>
          <w:sz w:val="18"/>
          <w:szCs w:val="18"/>
        </w:rPr>
        <w:t xml:space="preserve">(ATP). L'ATP est appelé la </w:t>
      </w:r>
      <w:r>
        <w:rPr>
          <w:rFonts w:ascii="Times New Roman" w:eastAsia="Times New Roman" w:hAnsi="Times New Roman" w:cs="Times New Roman"/>
          <w:i/>
          <w:color w:val="292526"/>
          <w:sz w:val="18"/>
          <w:szCs w:val="18"/>
        </w:rPr>
        <w:t xml:space="preserve">monnaie énergétique de la cellule </w:t>
      </w:r>
      <w:r>
        <w:rPr>
          <w:rFonts w:ascii="Times New Roman" w:eastAsia="Times New Roman" w:hAnsi="Times New Roman" w:cs="Times New Roman"/>
          <w:color w:val="292526"/>
          <w:sz w:val="18"/>
          <w:szCs w:val="18"/>
        </w:rPr>
        <w:t>car presque toutes les cellules du corps stockent et utilisent l'ATP comme source d'énergie. Les événements métaboliques impliqués dans la formation de l'ATP permettent de stocker, d'utiliser et de reconstituer l'énergie cellulaire.</w:t>
      </w:r>
    </w:p>
    <w:p w14:paraId="303693D3" w14:textId="77777777" w:rsidR="00D24541" w:rsidRDefault="00D24541" w:rsidP="00D24541">
      <w:pPr>
        <w:spacing w:line="240" w:lineRule="auto"/>
        <w:ind w:firstLine="708"/>
        <w:rPr>
          <w:rFonts w:ascii="Times New Roman" w:eastAsia="Times New Roman" w:hAnsi="Times New Roman" w:cs="Times New Roman"/>
          <w:b/>
          <w:sz w:val="18"/>
          <w:szCs w:val="18"/>
        </w:rPr>
      </w:pPr>
      <w:r>
        <w:rPr>
          <w:rFonts w:ascii="Times New Roman" w:eastAsia="Times New Roman" w:hAnsi="Times New Roman" w:cs="Times New Roman"/>
          <w:b/>
          <w:sz w:val="18"/>
          <w:szCs w:val="18"/>
        </w:rPr>
        <w:t>Tissu adipeux</w:t>
      </w:r>
    </w:p>
    <w:p w14:paraId="38D1CD96" w14:textId="77777777" w:rsidR="00D24541" w:rsidRDefault="00D24541" w:rsidP="00D24541">
      <w:pPr>
        <w:spacing w:line="240" w:lineRule="auto"/>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 xml:space="preserve">      Plus de 90 % de l'énergie corporelle est stockée dans les tissus adipeux de l'organisme. Les adipocytes, ou cellules graisseuses, sont présents seuls ou en petits groupes dans un tissu conjonctif lâche. Dans de nombreuses parties du corps, ils protègent des organes tels que les reins. Outre les groupes isolés d'adipocytes, des régions entières du tissu adipeux sont consacrées au stockage des graisses. Collectivement, les cellules adipeuses constituent un organe corporel important qui est métaboliquement actif dans l'absorption, la synthèse, le stockage et la mobilisation des lipides, qui sont la principale source de stockage de carburant pour l'organisme. Certains tissus, comme les cellules du foie, sont capables de stocker de petites quantités de lipides, mais lorsque ces lipides s'accumulent, ils commencent à interférer avec le fonctionnement des cellules. Le tissu adipeux sert non seulement de site de stockage pour les combustibles corporels, mais il fournit également une isolation au corps, remplit les fissures du corps et protège les organes corporels. L'étude des adipocytes en laboratoire a montré que les cellules entièrement différenciées ne se divisent pas. Cependant, ces cellules ont une longue durée de vie et toute personne née avec un grand nombre d'adipocytes court le risque de devenir obèse. Certains adipocytes immatures capables de se diviser sont présents dans la vie postnatale ; ces cellules répondent à la stimulation des œstrogènes et constituent la source potentielle de cellules adipeuses supplémentaires au cours de la vie postnatale. Le dépôt de graisse résulte de la prolifération de ces adipocytes immatures existants et peut être la conséquence d'un apport calorique excessif chez une femme qui allaite ou d'une stimulation œstrogénique au moment de la puberté. Une augmentation des cellules adipeuses peut également se produire à la fin de l'adolescence et chez les personnes d'âge moyen qui présentent déjà une surcharge pondérale.</w:t>
      </w:r>
    </w:p>
    <w:p w14:paraId="63C8B55A" w14:textId="77777777" w:rsidR="00D24541" w:rsidRDefault="00D24541" w:rsidP="00D24541">
      <w:pPr>
        <w:spacing w:line="240" w:lineRule="auto"/>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 xml:space="preserve">         Il existe deux types de tissu adipeux : la graisse blanche et la graisse brune. La </w:t>
      </w:r>
      <w:r>
        <w:rPr>
          <w:rFonts w:ascii="Times New Roman" w:eastAsia="Times New Roman" w:hAnsi="Times New Roman" w:cs="Times New Roman"/>
          <w:i/>
          <w:color w:val="292526"/>
          <w:sz w:val="18"/>
          <w:szCs w:val="18"/>
        </w:rPr>
        <w:t xml:space="preserve">graisse blanche, </w:t>
      </w:r>
      <w:r>
        <w:rPr>
          <w:rFonts w:ascii="Times New Roman" w:eastAsia="Times New Roman" w:hAnsi="Times New Roman" w:cs="Times New Roman"/>
          <w:color w:val="292526"/>
          <w:sz w:val="18"/>
          <w:szCs w:val="18"/>
        </w:rPr>
        <w:t xml:space="preserve">qui malgré son nom est de couleur crème ou jaune, est la forme prédominante du tissu adipeux dans la vie postnatale. Elle représente 10 à 20 % du poids corporel chez l'homme adulte et 15 à 25 % chez la femme adulte. À la température du corps, le contenu lipidique des cellules adipeuses se présente sous la forme d'une huile. Il se compose de </w:t>
      </w:r>
      <w:r>
        <w:rPr>
          <w:rFonts w:ascii="Times New Roman" w:eastAsia="Times New Roman" w:hAnsi="Times New Roman" w:cs="Times New Roman"/>
          <w:i/>
          <w:color w:val="292526"/>
          <w:sz w:val="18"/>
          <w:szCs w:val="18"/>
        </w:rPr>
        <w:t>triglycérides</w:t>
      </w:r>
      <w:r>
        <w:rPr>
          <w:rFonts w:ascii="Times New Roman" w:eastAsia="Times New Roman" w:hAnsi="Times New Roman" w:cs="Times New Roman"/>
          <w:color w:val="292526"/>
          <w:sz w:val="18"/>
          <w:szCs w:val="18"/>
        </w:rPr>
        <w:t xml:space="preserve">, qui sont constitués de trois molécules d'acides gras estérifiés à une molécule de glycérol. Les triglycérides, qui ne contiennent pas d'eau, ont le contenu calorique le plus élevé de tous les nutriments et constituent une forme efficace de stockage de l'énergie. Les cellules adipeuses synthétisent les triglycérides à partir des graisses alimentaires et des hydrates de carbone. L'insuline est nécessaire au transport du glucose dans les cellules adipeuses. Lorsque l'apport calorique est restreint pour quelque raison que ce soit, les triglycérides des cellules adipeuses sont décomposés et les acides gras et le glycérol qui en résultent sont libérés en tant que sources d'énergie. La </w:t>
      </w:r>
      <w:r>
        <w:rPr>
          <w:rFonts w:ascii="Times New Roman" w:eastAsia="Times New Roman" w:hAnsi="Times New Roman" w:cs="Times New Roman"/>
          <w:i/>
          <w:color w:val="292526"/>
          <w:sz w:val="18"/>
          <w:szCs w:val="18"/>
        </w:rPr>
        <w:t xml:space="preserve">graisse brune </w:t>
      </w:r>
      <w:r>
        <w:rPr>
          <w:rFonts w:ascii="Times New Roman" w:eastAsia="Times New Roman" w:hAnsi="Times New Roman" w:cs="Times New Roman"/>
          <w:color w:val="292526"/>
          <w:sz w:val="18"/>
          <w:szCs w:val="18"/>
        </w:rPr>
        <w:t xml:space="preserve">se distingue de la graisse blanche par sa </w:t>
      </w:r>
      <w:r>
        <w:rPr>
          <w:rFonts w:ascii="Times New Roman" w:eastAsia="Times New Roman" w:hAnsi="Times New Roman" w:cs="Times New Roman"/>
          <w:i/>
          <w:color w:val="292526"/>
          <w:sz w:val="18"/>
          <w:szCs w:val="18"/>
        </w:rPr>
        <w:t>capacité thermogénique</w:t>
      </w:r>
      <w:r>
        <w:rPr>
          <w:rFonts w:ascii="Times New Roman" w:eastAsia="Times New Roman" w:hAnsi="Times New Roman" w:cs="Times New Roman"/>
          <w:color w:val="292526"/>
          <w:sz w:val="18"/>
          <w:szCs w:val="18"/>
        </w:rPr>
        <w:t xml:space="preserve">, c'est-à-dire sa capacité à produire de la chaleur. La graisse brune, siège de la </w:t>
      </w:r>
      <w:r>
        <w:rPr>
          <w:rFonts w:ascii="Times New Roman" w:eastAsia="Times New Roman" w:hAnsi="Times New Roman" w:cs="Times New Roman"/>
          <w:i/>
          <w:color w:val="292526"/>
          <w:sz w:val="18"/>
          <w:szCs w:val="18"/>
        </w:rPr>
        <w:t xml:space="preserve">thermogenèse induite par l'alimentation </w:t>
      </w:r>
      <w:r>
        <w:rPr>
          <w:rFonts w:ascii="Times New Roman" w:eastAsia="Times New Roman" w:hAnsi="Times New Roman" w:cs="Times New Roman"/>
          <w:color w:val="292526"/>
          <w:sz w:val="18"/>
          <w:szCs w:val="18"/>
        </w:rPr>
        <w:t xml:space="preserve">et de la </w:t>
      </w:r>
      <w:r>
        <w:rPr>
          <w:rFonts w:ascii="Times New Roman" w:eastAsia="Times New Roman" w:hAnsi="Times New Roman" w:cs="Times New Roman"/>
          <w:i/>
          <w:color w:val="292526"/>
          <w:sz w:val="18"/>
          <w:szCs w:val="18"/>
        </w:rPr>
        <w:t>thermogenèse sans frissons</w:t>
      </w:r>
      <w:r>
        <w:rPr>
          <w:rFonts w:ascii="Times New Roman" w:eastAsia="Times New Roman" w:hAnsi="Times New Roman" w:cs="Times New Roman"/>
          <w:color w:val="292526"/>
          <w:sz w:val="18"/>
          <w:szCs w:val="18"/>
        </w:rPr>
        <w:t>, se trouve principalement au début de la vie néonatale chez l'homme et chez les animaux qui hibernent. Chez l'homme, la graisse brune diminue avec l'âge, mais elle est encore détectable au cours de la sixième décennie. Cette petite quantité de graisse brune a un effet minime sur la dépense énergétique.</w:t>
      </w:r>
    </w:p>
    <w:p w14:paraId="25E230F0" w14:textId="77777777" w:rsidR="00D24541" w:rsidRDefault="00D24541" w:rsidP="00D24541">
      <w:pPr>
        <w:spacing w:line="240" w:lineRule="auto"/>
        <w:jc w:val="both"/>
        <w:rPr>
          <w:rFonts w:ascii="Times New Roman" w:eastAsia="Times New Roman" w:hAnsi="Times New Roman" w:cs="Times New Roman"/>
          <w:color w:val="292526"/>
          <w:sz w:val="18"/>
          <w:szCs w:val="18"/>
        </w:rPr>
      </w:pPr>
    </w:p>
    <w:p w14:paraId="717C2899" w14:textId="77777777" w:rsidR="00D24541" w:rsidRDefault="00D24541" w:rsidP="00D24541">
      <w:pPr>
        <w:spacing w:line="240" w:lineRule="auto"/>
        <w:jc w:val="both"/>
        <w:rPr>
          <w:rFonts w:ascii="Times New Roman" w:eastAsia="Times New Roman" w:hAnsi="Times New Roman" w:cs="Times New Roman"/>
          <w:color w:val="292526"/>
          <w:sz w:val="18"/>
          <w:szCs w:val="18"/>
        </w:rPr>
      </w:pPr>
    </w:p>
    <w:p w14:paraId="432E656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dyshoméostasie métabolique </w:t>
      </w:r>
      <w:r>
        <w:rPr>
          <w:rFonts w:ascii="Times New Roman" w:eastAsia="Times New Roman" w:hAnsi="Times New Roman" w:cs="Times New Roman"/>
          <w:sz w:val="24"/>
          <w:szCs w:val="24"/>
        </w:rPr>
        <w:t xml:space="preserve">ou le </w:t>
      </w:r>
      <w:r>
        <w:rPr>
          <w:rFonts w:ascii="Times New Roman" w:eastAsia="Times New Roman" w:hAnsi="Times New Roman" w:cs="Times New Roman"/>
          <w:i/>
          <w:sz w:val="24"/>
          <w:szCs w:val="24"/>
        </w:rPr>
        <w:t xml:space="preserve">déséquilibre métabolique général </w:t>
      </w:r>
      <w:r>
        <w:rPr>
          <w:rFonts w:ascii="Times New Roman" w:eastAsia="Times New Roman" w:hAnsi="Times New Roman" w:cs="Times New Roman"/>
          <w:sz w:val="24"/>
          <w:szCs w:val="24"/>
        </w:rPr>
        <w:t>représentent des processus pathologiques typiques qui se développent à la suite de l'action de facteurs pathogènes endogènes (</w:t>
      </w:r>
      <w:r>
        <w:rPr>
          <w:rFonts w:ascii="Times New Roman" w:eastAsia="Times New Roman" w:hAnsi="Times New Roman" w:cs="Times New Roman"/>
          <w:i/>
          <w:sz w:val="24"/>
          <w:szCs w:val="24"/>
        </w:rPr>
        <w:t>dysmétabolismes congénitaux</w:t>
      </w:r>
      <w:r>
        <w:rPr>
          <w:rFonts w:ascii="Times New Roman" w:eastAsia="Times New Roman" w:hAnsi="Times New Roman" w:cs="Times New Roman"/>
          <w:sz w:val="24"/>
          <w:szCs w:val="24"/>
        </w:rPr>
        <w:t>) ou exogènes (</w:t>
      </w:r>
      <w:r>
        <w:rPr>
          <w:rFonts w:ascii="Times New Roman" w:eastAsia="Times New Roman" w:hAnsi="Times New Roman" w:cs="Times New Roman"/>
          <w:i/>
          <w:sz w:val="24"/>
          <w:szCs w:val="24"/>
        </w:rPr>
        <w:t>dysmétabolismes acquis</w:t>
      </w:r>
      <w:r>
        <w:rPr>
          <w:rFonts w:ascii="Times New Roman" w:eastAsia="Times New Roman" w:hAnsi="Times New Roman" w:cs="Times New Roman"/>
          <w:sz w:val="24"/>
          <w:szCs w:val="24"/>
        </w:rPr>
        <w:t>) et se caractérisent par des troubles métaboliques aux niveaux cellulaire, tissulaire, organique et intégral.</w:t>
      </w:r>
    </w:p>
    <w:p w14:paraId="65F3EE0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troubles métaboliques peuvent se développer dans n'importe quel processus de la chaîne métabolique et altérer les réactions métaboliques successives et précurseurs. Les conséquences des dysmétabolismes sont des processus pathologiques cellulaires et tissulaires (lésions cellulaires, dystrophie cellulaire, nécrose, inflammation, atrophie, sclérose).</w:t>
      </w:r>
    </w:p>
    <w:p w14:paraId="59FED6A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troubles du métabolisme ont un caractère intégral et complexe. Ce n'est que sous l'angle scientifique et didactique qu'il est possible de discuter du métabolisme de n'importe quelle substance distincte, ainsi que des dysmétabolismes distincts - les troubles du métabolisme des glucides, des lipides et des protéines.</w:t>
      </w:r>
    </w:p>
    <w:p w14:paraId="207CF41F" w14:textId="77777777" w:rsidR="00D24541" w:rsidRDefault="00D24541" w:rsidP="00D24541">
      <w:pPr>
        <w:spacing w:after="200"/>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Déséquilibre du métabolisme des glucides</w:t>
      </w:r>
    </w:p>
    <w:p w14:paraId="74AE18FC" w14:textId="77777777" w:rsidR="00D24541" w:rsidRDefault="00D24541" w:rsidP="00D24541">
      <w:pPr>
        <w:spacing w:after="200"/>
        <w:ind w:firstLine="708"/>
        <w:jc w:val="both"/>
        <w:rPr>
          <w:rFonts w:ascii="Times New Roman" w:eastAsia="Times New Roman" w:hAnsi="Times New Roman" w:cs="Times New Roman"/>
          <w:b/>
          <w:i/>
          <w:sz w:val="20"/>
          <w:szCs w:val="20"/>
        </w:rPr>
      </w:pPr>
      <w:r>
        <w:rPr>
          <w:rFonts w:ascii="Times New Roman" w:eastAsia="Times New Roman" w:hAnsi="Times New Roman" w:cs="Times New Roman"/>
          <w:noProof/>
          <w:sz w:val="24"/>
          <w:szCs w:val="24"/>
        </w:rPr>
        <w:drawing>
          <wp:inline distT="0" distB="0" distL="0" distR="0" wp14:anchorId="3139B3EF" wp14:editId="0DB89305">
            <wp:extent cx="540529" cy="272110"/>
            <wp:effectExtent l="0" t="0" r="0" b="0"/>
            <wp:docPr id="76"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6"/>
                    <a:srcRect/>
                    <a:stretch>
                      <a:fillRect/>
                    </a:stretch>
                  </pic:blipFill>
                  <pic:spPr>
                    <a:xfrm>
                      <a:off x="0" y="0"/>
                      <a:ext cx="540529" cy="272110"/>
                    </a:xfrm>
                    <a:prstGeom prst="rect">
                      <a:avLst/>
                    </a:prstGeom>
                    <a:ln/>
                  </pic:spPr>
                </pic:pic>
              </a:graphicData>
            </a:graphic>
          </wp:inline>
        </w:drawing>
      </w:r>
      <w:r>
        <w:rPr>
          <w:rFonts w:ascii="Times New Roman" w:eastAsia="Times New Roman" w:hAnsi="Times New Roman" w:cs="Times New Roman"/>
          <w:b/>
          <w:i/>
          <w:sz w:val="20"/>
          <w:szCs w:val="20"/>
        </w:rPr>
        <w:t xml:space="preserve"> Digestion et absorption des glucides </w:t>
      </w:r>
    </w:p>
    <w:p w14:paraId="56015F93"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Les glucides alimentaires sont composés de sucres simples, de glucides complexes et de glucides non digérés (</w:t>
      </w:r>
      <w:r>
        <w:rPr>
          <w:rFonts w:ascii="Times New Roman" w:eastAsia="Times New Roman" w:hAnsi="Times New Roman" w:cs="Times New Roman"/>
          <w:i/>
          <w:color w:val="292526"/>
          <w:sz w:val="18"/>
          <w:szCs w:val="18"/>
        </w:rPr>
        <w:t xml:space="preserve">c'est-à-dire de </w:t>
      </w:r>
      <w:r>
        <w:rPr>
          <w:rFonts w:ascii="Times New Roman" w:eastAsia="Times New Roman" w:hAnsi="Times New Roman" w:cs="Times New Roman"/>
          <w:color w:val="292526"/>
          <w:sz w:val="18"/>
          <w:szCs w:val="18"/>
        </w:rPr>
        <w:t xml:space="preserve">fibres). En raison de leur teneur en vitamines, en minéraux et en fibres, il est recommandé que la majeure partie des glucides contenus dans l'alimentation soit sous forme complexe plutôt que sous forme de sucres simples qui contiennent peu de nutriments. Il n'y a pas de besoin alimentaire spécifique en matière de </w:t>
      </w:r>
      <w:r>
        <w:rPr>
          <w:rFonts w:ascii="Times New Roman" w:eastAsia="Times New Roman" w:hAnsi="Times New Roman" w:cs="Times New Roman"/>
          <w:color w:val="292526"/>
          <w:sz w:val="18"/>
          <w:szCs w:val="18"/>
        </w:rPr>
        <w:lastRenderedPageBreak/>
        <w:t>glucides. Tous les besoins énergétiques de l'organisme peuvent être satisfaits par les graisses et les protéines alimentaires. Bien que certains tissus, comme le système nerveux, aient besoin de glucose comme source d'énergie, ce besoin peut être satisfait par la conversion en glucose des acides aminés et de la partie glycérol de la molécule de triglycéride. Les acides gras des triglycérides sont convertis en cétones et utilisés comme source d'énergie par d'autres tissus de l'organisme. Un régime pauvre en glucides entraîne généralement une perte de protéines tissulaires et le développement d'une cétose. Comme le métabolisme des protéines et des graisses augmente la production de déchets métaboliques osmotiquement actifs qui doivent être éliminés par les reins, il existe un risque de déshydratation et de déséquilibre électrolytique. La quantité d'hydrates de carbone nécessaire pour prévenir la perte de tissus et la cétose est de 50 à 100 g/jour. En pratique, la majeure partie des besoins énergétiques quotidiens doit provenir des glucides. En effet, les protéines sont une source de calories coûteuse et il est recommandé que les graisses ne représentent pas plus de 30 % des calories du régime alimentaire. L'AMDR indique que l'apport en glucides doit être limité à au moins 45 % des calories du régime alimentaire afin d'éviter des apports élevés en graisses.</w:t>
      </w:r>
    </w:p>
    <w:p w14:paraId="0DBC7720"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Les hydrates de carbone couvrent la moitié ou les deux tiers des besoins énergétiques. Au moins 50 % des glucides alimentaires sont constitués d'</w:t>
      </w:r>
      <w:r>
        <w:rPr>
          <w:rFonts w:ascii="Times New Roman" w:eastAsia="Times New Roman" w:hAnsi="Times New Roman" w:cs="Times New Roman"/>
          <w:i/>
          <w:sz w:val="18"/>
          <w:szCs w:val="18"/>
        </w:rPr>
        <w:t xml:space="preserve">amidon </w:t>
      </w:r>
      <w:r>
        <w:rPr>
          <w:rFonts w:ascii="Times New Roman" w:eastAsia="Times New Roman" w:hAnsi="Times New Roman" w:cs="Times New Roman"/>
          <w:sz w:val="18"/>
          <w:szCs w:val="18"/>
        </w:rPr>
        <w:t xml:space="preserve">(amylose et amylopectine), un polysaccharide ; les autres glucides alimentaires importants sont le sucre de canne (saccharose = saccharose) et le sucre de lait (lactose). La digestion des glucides commence dans la bouche. La </w:t>
      </w:r>
      <w:r>
        <w:rPr>
          <w:rFonts w:ascii="Times New Roman" w:eastAsia="Times New Roman" w:hAnsi="Times New Roman" w:cs="Times New Roman"/>
          <w:i/>
          <w:sz w:val="18"/>
          <w:szCs w:val="18"/>
        </w:rPr>
        <w:t>ptyaline</w:t>
      </w:r>
      <w:r>
        <w:rPr>
          <w:rFonts w:ascii="Times New Roman" w:eastAsia="Times New Roman" w:hAnsi="Times New Roman" w:cs="Times New Roman"/>
          <w:sz w:val="18"/>
          <w:szCs w:val="18"/>
        </w:rPr>
        <w:t>, une</w:t>
      </w:r>
      <w:r>
        <w:rPr>
          <w:rFonts w:ascii="Times New Roman" w:eastAsia="Times New Roman" w:hAnsi="Times New Roman" w:cs="Times New Roman"/>
          <w:i/>
          <w:sz w:val="18"/>
          <w:szCs w:val="18"/>
        </w:rPr>
        <w:t xml:space="preserve"> α-amylase </w:t>
      </w:r>
      <w:r>
        <w:rPr>
          <w:rFonts w:ascii="Times New Roman" w:eastAsia="Times New Roman" w:hAnsi="Times New Roman" w:cs="Times New Roman"/>
          <w:sz w:val="18"/>
          <w:szCs w:val="18"/>
        </w:rPr>
        <w:t xml:space="preserve">présente dans la salive, décompose les amidons en oligosaccharides (maltose, maltotriose, limite des dextrines) dans un environnement à pH neutre. Ce processus digestif se poursuit dans l'estomac proximal, mais s'interrompt dans l'estomac distal lorsque les aliments sont mélangés aux sucs gastriques acides. </w:t>
      </w:r>
    </w:p>
    <w:p w14:paraId="1232CF9C"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Une</w:t>
      </w:r>
      <w:r>
        <w:rPr>
          <w:rFonts w:ascii="Times New Roman" w:eastAsia="Times New Roman" w:hAnsi="Times New Roman" w:cs="Times New Roman"/>
          <w:i/>
          <w:sz w:val="18"/>
          <w:szCs w:val="18"/>
        </w:rPr>
        <w:t xml:space="preserve"> α-amylase </w:t>
      </w:r>
      <w:r>
        <w:rPr>
          <w:rFonts w:ascii="Times New Roman" w:eastAsia="Times New Roman" w:hAnsi="Times New Roman" w:cs="Times New Roman"/>
          <w:sz w:val="18"/>
          <w:szCs w:val="18"/>
        </w:rPr>
        <w:t xml:space="preserve">pancréatique, dont le pH optimal est de 8, est mélangée au chyme dans le duodénum. Ainsi, la digestion des polysaccharides peut se poursuivre jusqu'à l'étape finale des oligosaccharides mentionnée ci-dessus. Les hydrates de carbone ne peuvent être absorbés que sous la forme de monosaccharides. Ainsi, les enzymes </w:t>
      </w:r>
      <w:r>
        <w:rPr>
          <w:rFonts w:ascii="Times New Roman" w:eastAsia="Times New Roman" w:hAnsi="Times New Roman" w:cs="Times New Roman"/>
          <w:i/>
          <w:sz w:val="18"/>
          <w:szCs w:val="18"/>
        </w:rPr>
        <w:t xml:space="preserve">maltase </w:t>
      </w:r>
      <w:r>
        <w:rPr>
          <w:rFonts w:ascii="Times New Roman" w:eastAsia="Times New Roman" w:hAnsi="Times New Roman" w:cs="Times New Roman"/>
          <w:sz w:val="18"/>
          <w:szCs w:val="18"/>
        </w:rPr>
        <w:t xml:space="preserve">et </w:t>
      </w:r>
      <w:r>
        <w:rPr>
          <w:rFonts w:ascii="Times New Roman" w:eastAsia="Times New Roman" w:hAnsi="Times New Roman" w:cs="Times New Roman"/>
          <w:i/>
          <w:sz w:val="18"/>
          <w:szCs w:val="18"/>
        </w:rPr>
        <w:t xml:space="preserve">isomaltase </w:t>
      </w:r>
      <w:r>
        <w:rPr>
          <w:rFonts w:ascii="Times New Roman" w:eastAsia="Times New Roman" w:hAnsi="Times New Roman" w:cs="Times New Roman"/>
          <w:sz w:val="18"/>
          <w:szCs w:val="18"/>
        </w:rPr>
        <w:t>intégrées dans la membrane de la bordure en brosse luminale des entérocytes décomposent le maltose, le maltotriose et les dextrines limites en glucose comme produit final. Comme dans les tubules rénaux, le glucose est d'abord activement absorbé par le transporteur symporteur Na</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SGLT</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dans les cellules muqueuses, avant de diffuser passivement dans la circulation portale via GLUT</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 le transporteur uniport du glucose (diffusion facilitée). L'hydrolyse du saccharose, du lactose et du tréhalose est catalysée par d'autres enzymes de la bordure en brosse : </w:t>
      </w:r>
      <w:r>
        <w:rPr>
          <w:rFonts w:ascii="Times New Roman" w:eastAsia="Times New Roman" w:hAnsi="Times New Roman" w:cs="Times New Roman"/>
          <w:i/>
          <w:sz w:val="18"/>
          <w:szCs w:val="18"/>
        </w:rPr>
        <w:t>lactase, saccharase (sucrase</w:t>
      </w:r>
      <w:r>
        <w:rPr>
          <w:rFonts w:ascii="Times New Roman" w:eastAsia="Times New Roman" w:hAnsi="Times New Roman" w:cs="Times New Roman"/>
          <w:sz w:val="18"/>
          <w:szCs w:val="18"/>
        </w:rPr>
        <w:t xml:space="preserve">) et </w:t>
      </w:r>
      <w:r>
        <w:rPr>
          <w:rFonts w:ascii="Times New Roman" w:eastAsia="Times New Roman" w:hAnsi="Times New Roman" w:cs="Times New Roman"/>
          <w:i/>
          <w:sz w:val="18"/>
          <w:szCs w:val="18"/>
        </w:rPr>
        <w:t>tréhalase</w:t>
      </w:r>
      <w:r>
        <w:rPr>
          <w:rFonts w:ascii="Times New Roman" w:eastAsia="Times New Roman" w:hAnsi="Times New Roman" w:cs="Times New Roman"/>
          <w:sz w:val="18"/>
          <w:szCs w:val="18"/>
        </w:rPr>
        <w:t xml:space="preserve">. En plus du glucose, ces réactions libèrent du </w:t>
      </w:r>
      <w:r>
        <w:rPr>
          <w:rFonts w:ascii="Times New Roman" w:eastAsia="Times New Roman" w:hAnsi="Times New Roman" w:cs="Times New Roman"/>
          <w:i/>
          <w:sz w:val="18"/>
          <w:szCs w:val="18"/>
        </w:rPr>
        <w:t xml:space="preserve">galactose </w:t>
      </w:r>
      <w:r>
        <w:rPr>
          <w:rFonts w:ascii="Times New Roman" w:eastAsia="Times New Roman" w:hAnsi="Times New Roman" w:cs="Times New Roman"/>
          <w:sz w:val="18"/>
          <w:szCs w:val="18"/>
        </w:rPr>
        <w:t>(à partir du lactose), qui est absorbé par les mêmes transporteurs que le glucose, et du fructose, qui traverse les entérocytes par des transporteurs uniporteurs passifs, GLUT</w:t>
      </w:r>
      <w:r>
        <w:rPr>
          <w:rFonts w:ascii="Times New Roman" w:eastAsia="Times New Roman" w:hAnsi="Times New Roman" w:cs="Times New Roman"/>
          <w:sz w:val="18"/>
          <w:szCs w:val="18"/>
          <w:vertAlign w:val="subscript"/>
        </w:rPr>
        <w:t>5</w:t>
      </w:r>
      <w:r>
        <w:rPr>
          <w:rFonts w:ascii="Times New Roman" w:eastAsia="Times New Roman" w:hAnsi="Times New Roman" w:cs="Times New Roman"/>
          <w:sz w:val="18"/>
          <w:szCs w:val="18"/>
        </w:rPr>
        <w:t xml:space="preserve"> dans la membrane luminale et GLUT</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dans la membrane basolatérale.</w:t>
      </w:r>
    </w:p>
    <w:p w14:paraId="42534400"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Le glucose est une molécule à six atomes de carbone ; c'est un carburant efficace qui, lorsqu'il est métabolisé en présence d'oxygène, se décompose pour former du dioxyde de carbone et de l'eau. Bien que de nombreux tissus et systèmes organiques soient capables d'utiliser d'autres formes de carburant, comme les acides gras et les cétones, le cerveau et le système nerveux dépendent presque exclusivement du glucose comme source de carburant. Le système nerveux ne peut ni stocker ni synthétiser le glucose ; il dépend de l'extraction minute par minute du glucose du sang pour répondre à ses besoins énergétiques. À l'état nourri et au début du jeûne, le système nerveux a besoin d'environ 100 à 115 g de glucose par jour pour répondre à ses besoins métaboliques.</w:t>
      </w:r>
    </w:p>
    <w:p w14:paraId="0F6493E9"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color w:val="292526"/>
          <w:sz w:val="18"/>
          <w:szCs w:val="18"/>
        </w:rPr>
        <w:t xml:space="preserve">Le foie régule l'entrée du glucose dans le sang. Le glucose ingéré dans l'alimentation est transporté du tractus gastro-intestinal, à travers la veine porte, jusqu'au foie avant d'accéder au système circulatoire. Le foie stocke et synthétise le glucose. Lorsque la glycémie augmente, le foie prélève le glucose du sang et le stocke en vue d'une utilisation ultérieure. Inversement, le foie libère ses réserves de glucose lorsque la glycémie baisse. Le foie agit ainsi comme un système tampon pour réguler la glycémie. La glycémie reflète généralement la différence entre la quantité de glucose libérée dans la circulation par le foie et la quantité de glucose éliminée du sang par les cellules de l'organisme. L'excès de glucose est stocké sous deux formes. Il peut être converti en acides gras et stocké dans les cellules adipeuses sous forme de triglycérides, ou il peut être stocké dans le foie et les muscles squelettiques sous forme de glycogène. De petites quantités de glycogène sont également stockées dans la peau et dans certains tissus glandulaires. </w:t>
      </w:r>
      <w:r>
        <w:rPr>
          <w:rFonts w:ascii="Times New Roman" w:eastAsia="Times New Roman" w:hAnsi="Times New Roman" w:cs="Times New Roman"/>
          <w:sz w:val="18"/>
          <w:szCs w:val="18"/>
        </w:rPr>
        <w:t>Les termes suivants sont importants pour bien comprendre le métabolisme des glucides :</w:t>
      </w:r>
    </w:p>
    <w:p w14:paraId="208B184E"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1. La </w:t>
      </w:r>
      <w:r>
        <w:rPr>
          <w:rFonts w:ascii="Times New Roman" w:eastAsia="Times New Roman" w:hAnsi="Times New Roman" w:cs="Times New Roman"/>
          <w:b/>
          <w:i/>
          <w:sz w:val="18"/>
          <w:szCs w:val="18"/>
        </w:rPr>
        <w:t xml:space="preserve">glycolyse </w:t>
      </w:r>
      <w:r>
        <w:rPr>
          <w:rFonts w:ascii="Times New Roman" w:eastAsia="Times New Roman" w:hAnsi="Times New Roman" w:cs="Times New Roman"/>
          <w:sz w:val="18"/>
          <w:szCs w:val="18"/>
        </w:rPr>
        <w:t>fait généralement référence à la conversion anaérobie du glucose en lactate. Ce phénomène se produit dans les globules rouges, la moelle épinière et les muscles squelettiques. L'oxydation aérobie du glucose se produit dans le SNC, le cœur, les muscles squelettiques et la plupart des autres organes.</w:t>
      </w:r>
    </w:p>
    <w:p w14:paraId="133026D4"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2. </w:t>
      </w:r>
      <w:r>
        <w:rPr>
          <w:rFonts w:ascii="Times New Roman" w:eastAsia="Times New Roman" w:hAnsi="Times New Roman" w:cs="Times New Roman"/>
          <w:b/>
          <w:i/>
          <w:sz w:val="18"/>
          <w:szCs w:val="18"/>
        </w:rPr>
        <w:t xml:space="preserve">Glycogénèse - </w:t>
      </w:r>
      <w:r>
        <w:rPr>
          <w:rFonts w:ascii="Times New Roman" w:eastAsia="Times New Roman" w:hAnsi="Times New Roman" w:cs="Times New Roman"/>
          <w:sz w:val="18"/>
          <w:szCs w:val="18"/>
        </w:rPr>
        <w:t>la synthèse du glycogène à partir du glucose (dans le foie et les muscles), facilite le stockage du glucose et contribue à maintenir une concentration constante de glucose dans le plasma. Le glycogène stocké dans un muscle ne peut être utilisé que par ce muscle.</w:t>
      </w:r>
    </w:p>
    <w:p w14:paraId="394E5939"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sz w:val="18"/>
          <w:szCs w:val="18"/>
        </w:rPr>
        <w:t xml:space="preserve">3. </w:t>
      </w:r>
      <w:r>
        <w:rPr>
          <w:rFonts w:ascii="Times New Roman" w:eastAsia="Times New Roman" w:hAnsi="Times New Roman" w:cs="Times New Roman"/>
          <w:color w:val="292526"/>
          <w:sz w:val="18"/>
          <w:szCs w:val="18"/>
        </w:rPr>
        <w:t xml:space="preserve">La </w:t>
      </w:r>
      <w:r>
        <w:rPr>
          <w:rFonts w:ascii="Times New Roman" w:eastAsia="Times New Roman" w:hAnsi="Times New Roman" w:cs="Times New Roman"/>
          <w:b/>
          <w:i/>
          <w:sz w:val="18"/>
          <w:szCs w:val="18"/>
        </w:rPr>
        <w:t>glycogénolyse</w:t>
      </w:r>
      <w:r>
        <w:rPr>
          <w:rFonts w:ascii="Times New Roman" w:eastAsia="Times New Roman" w:hAnsi="Times New Roman" w:cs="Times New Roman"/>
          <w:color w:val="292526"/>
          <w:sz w:val="18"/>
          <w:szCs w:val="18"/>
        </w:rPr>
        <w:t xml:space="preserve">, c'est-à-dire la transformation du glycogène </w:t>
      </w:r>
      <w:r>
        <w:rPr>
          <w:rFonts w:ascii="Times New Roman" w:eastAsia="Times New Roman" w:hAnsi="Times New Roman" w:cs="Times New Roman"/>
          <w:sz w:val="18"/>
          <w:szCs w:val="18"/>
        </w:rPr>
        <w:t>en glucose</w:t>
      </w:r>
      <w:r>
        <w:rPr>
          <w:rFonts w:ascii="Times New Roman" w:eastAsia="Times New Roman" w:hAnsi="Times New Roman" w:cs="Times New Roman"/>
          <w:color w:val="292526"/>
          <w:sz w:val="18"/>
          <w:szCs w:val="18"/>
        </w:rPr>
        <w:t xml:space="preserve">, est contrôlée par l'action de deux hormones : le </w:t>
      </w:r>
      <w:r>
        <w:rPr>
          <w:rFonts w:ascii="Times New Roman" w:eastAsia="Times New Roman" w:hAnsi="Times New Roman" w:cs="Times New Roman"/>
          <w:i/>
          <w:color w:val="292526"/>
          <w:sz w:val="18"/>
          <w:szCs w:val="18"/>
        </w:rPr>
        <w:t xml:space="preserve">glucagon </w:t>
      </w:r>
      <w:r>
        <w:rPr>
          <w:rFonts w:ascii="Times New Roman" w:eastAsia="Times New Roman" w:hAnsi="Times New Roman" w:cs="Times New Roman"/>
          <w:color w:val="292526"/>
          <w:sz w:val="18"/>
          <w:szCs w:val="18"/>
        </w:rPr>
        <w:t>et l'</w:t>
      </w:r>
      <w:r>
        <w:rPr>
          <w:rFonts w:ascii="Times New Roman" w:eastAsia="Times New Roman" w:hAnsi="Times New Roman" w:cs="Times New Roman"/>
          <w:i/>
          <w:color w:val="292526"/>
          <w:sz w:val="18"/>
          <w:szCs w:val="18"/>
        </w:rPr>
        <w:t>épinéphrine.</w:t>
      </w:r>
      <w:r>
        <w:rPr>
          <w:rFonts w:ascii="Times New Roman" w:eastAsia="Times New Roman" w:hAnsi="Times New Roman" w:cs="Times New Roman"/>
          <w:color w:val="292526"/>
          <w:sz w:val="18"/>
          <w:szCs w:val="18"/>
        </w:rPr>
        <w:t xml:space="preserve"> L'épinéphrine est plus efficace pour stimuler la dégradation du glycogène dans les muscles, tandis que le foie répond mieux au glucagon. La synthèse et la dégradation du glycogène sont importantes car elles contribuent à maintenir le taux de sucre dans le sang pendant les périodes de jeûne et d'exercice physique intense. Seul le foie est capable de libérer ses réserves de glucose dans le sang pour qu'elles soient utilisées par d'autres tissus, tels que le cerveau et le système nerveux. Le glycogène se décompose pour former une molécule de glucose phosphorylée qui, sous cette forme, est trop grosse pour traverser la membrane cellulaire. Le foie, mais pas le muscle squelettique, possède l'enzyme </w:t>
      </w:r>
      <w:r>
        <w:rPr>
          <w:rFonts w:ascii="Times New Roman" w:eastAsia="Times New Roman" w:hAnsi="Times New Roman" w:cs="Times New Roman"/>
          <w:i/>
          <w:color w:val="292526"/>
          <w:sz w:val="18"/>
          <w:szCs w:val="18"/>
        </w:rPr>
        <w:t>glucose-6-phosphatase</w:t>
      </w:r>
      <w:r>
        <w:rPr>
          <w:rFonts w:ascii="Times New Roman" w:eastAsia="Times New Roman" w:hAnsi="Times New Roman" w:cs="Times New Roman"/>
          <w:color w:val="292526"/>
          <w:sz w:val="18"/>
          <w:szCs w:val="18"/>
        </w:rPr>
        <w:t>, qui est nécessaire pour éliminer le groupe phosphate et permettre à la molécule de glucose de passer dans la circulation sanguine.</w:t>
      </w:r>
    </w:p>
    <w:p w14:paraId="0DC1C11E" w14:textId="77777777" w:rsidR="00D24541" w:rsidRDefault="00D24541" w:rsidP="00D24541">
      <w:pPr>
        <w:spacing w:line="240" w:lineRule="auto"/>
        <w:ind w:firstLine="720"/>
        <w:jc w:val="both"/>
        <w:rPr>
          <w:rFonts w:ascii="Times New Roman" w:eastAsia="Times New Roman" w:hAnsi="Times New Roman" w:cs="Times New Roman"/>
          <w:color w:val="292526"/>
          <w:sz w:val="18"/>
          <w:szCs w:val="18"/>
        </w:rPr>
      </w:pPr>
      <w:r>
        <w:rPr>
          <w:rFonts w:ascii="Times New Roman" w:eastAsia="Times New Roman" w:hAnsi="Times New Roman" w:cs="Times New Roman"/>
          <w:sz w:val="18"/>
          <w:szCs w:val="18"/>
        </w:rPr>
        <w:t xml:space="preserve">4. La </w:t>
      </w:r>
      <w:r>
        <w:rPr>
          <w:rFonts w:ascii="Times New Roman" w:eastAsia="Times New Roman" w:hAnsi="Times New Roman" w:cs="Times New Roman"/>
          <w:b/>
          <w:i/>
          <w:sz w:val="18"/>
          <w:szCs w:val="18"/>
        </w:rPr>
        <w:t xml:space="preserve">gluconéogenèse - </w:t>
      </w:r>
      <w:r>
        <w:rPr>
          <w:rFonts w:ascii="Times New Roman" w:eastAsia="Times New Roman" w:hAnsi="Times New Roman" w:cs="Times New Roman"/>
          <w:sz w:val="18"/>
          <w:szCs w:val="18"/>
        </w:rPr>
        <w:t>est la production de glucose (dans le foie et le cortex rénal) à partir de molécules non sucrées telles que les acides aminés (par exemple, la glutamine), le lactate (produit par la glycolyse anaérobie dans les muscles et les globules rouges) et le glycérol (provenant de la lipolyse).</w:t>
      </w:r>
      <w:r>
        <w:rPr>
          <w:rFonts w:ascii="Times New Roman" w:eastAsia="Times New Roman" w:hAnsi="Times New Roman" w:cs="Times New Roman"/>
          <w:color w:val="292526"/>
          <w:sz w:val="18"/>
          <w:szCs w:val="18"/>
        </w:rPr>
        <w:t xml:space="preserve"> Bien que de nombreuses cellules utilisent les acides gras comme source de carburant, ils ne peuvent pas être convertis en glucose. Le glucose produit par le processus de néoglucogenèse est soit stocké dans le foie sous forme de glycogène, soit libéré dans la circulation générale. Pendant les périodes de privation de nourriture ou lorsque le régime alimentaire est pauvre en glucides, la néoglucogenèse fournit le glucose nécessaire pour répondre aux besoins métaboliques du cerveau et des autres tissus dépendants du glucose. Plusieurs hormones stimulent la néoglucogenèse, notamment le glucagon, les hormones glucocorticoïdes du cortex surrénalien et l'hormone thyroïdienne.</w:t>
      </w:r>
    </w:p>
    <w:p w14:paraId="5D1A5478"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5. </w:t>
      </w:r>
      <w:r>
        <w:rPr>
          <w:rFonts w:ascii="Times New Roman" w:eastAsia="Times New Roman" w:hAnsi="Times New Roman" w:cs="Times New Roman"/>
          <w:sz w:val="18"/>
          <w:szCs w:val="18"/>
        </w:rPr>
        <w:t xml:space="preserve">La </w:t>
      </w:r>
      <w:r>
        <w:rPr>
          <w:rFonts w:ascii="Times New Roman" w:eastAsia="Times New Roman" w:hAnsi="Times New Roman" w:cs="Times New Roman"/>
          <w:b/>
          <w:i/>
          <w:sz w:val="18"/>
          <w:szCs w:val="18"/>
        </w:rPr>
        <w:t xml:space="preserve">lipolyse </w:t>
      </w:r>
      <w:r>
        <w:rPr>
          <w:rFonts w:ascii="Times New Roman" w:eastAsia="Times New Roman" w:hAnsi="Times New Roman" w:cs="Times New Roman"/>
          <w:sz w:val="18"/>
          <w:szCs w:val="18"/>
        </w:rPr>
        <w:t>est la décomposition des triacylglycérols en glycérol et en acides gras libres.</w:t>
      </w:r>
    </w:p>
    <w:p w14:paraId="56275EC0"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6. La </w:t>
      </w:r>
      <w:r>
        <w:rPr>
          <w:rFonts w:ascii="Times New Roman" w:eastAsia="Times New Roman" w:hAnsi="Times New Roman" w:cs="Times New Roman"/>
          <w:b/>
          <w:i/>
          <w:sz w:val="18"/>
          <w:szCs w:val="18"/>
        </w:rPr>
        <w:t xml:space="preserve">lipogenèse </w:t>
      </w:r>
      <w:r>
        <w:rPr>
          <w:rFonts w:ascii="Times New Roman" w:eastAsia="Times New Roman" w:hAnsi="Times New Roman" w:cs="Times New Roman"/>
          <w:sz w:val="18"/>
          <w:szCs w:val="18"/>
        </w:rPr>
        <w:t>est la synthèse des triacylglycérols (pour le stockage dans les dépôts de graisse).</w:t>
      </w:r>
    </w:p>
    <w:p w14:paraId="3F6ADFD0" w14:textId="77777777" w:rsidR="00D24541" w:rsidRDefault="00D24541" w:rsidP="00D24541">
      <w:pPr>
        <w:spacing w:after="200" w:line="240" w:lineRule="auto"/>
        <w:ind w:firstLine="708"/>
        <w:jc w:val="both"/>
        <w:rPr>
          <w:rFonts w:ascii="Times New Roman" w:eastAsia="Times New Roman" w:hAnsi="Times New Roman" w:cs="Times New Roman"/>
          <w:sz w:val="18"/>
          <w:szCs w:val="18"/>
        </w:rPr>
      </w:pPr>
    </w:p>
    <w:p w14:paraId="0219164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L'environnement interne du corps représente l'environnement des cellules. Pour ces raisons, le maintien d'un niveau optimal et constant de glucides (</w:t>
      </w:r>
      <w:r>
        <w:rPr>
          <w:rFonts w:ascii="Times New Roman" w:eastAsia="Times New Roman" w:hAnsi="Times New Roman" w:cs="Times New Roman"/>
          <w:i/>
          <w:sz w:val="24"/>
          <w:szCs w:val="24"/>
        </w:rPr>
        <w:t>homéostasie glycémique</w:t>
      </w:r>
      <w:r>
        <w:rPr>
          <w:rFonts w:ascii="Times New Roman" w:eastAsia="Times New Roman" w:hAnsi="Times New Roman" w:cs="Times New Roman"/>
          <w:sz w:val="24"/>
          <w:szCs w:val="24"/>
        </w:rPr>
        <w:t xml:space="preserve">) est une condition indispensable à l'activité </w:t>
      </w:r>
      <w:r>
        <w:rPr>
          <w:rFonts w:ascii="Times New Roman" w:eastAsia="Times New Roman" w:hAnsi="Times New Roman" w:cs="Times New Roman"/>
          <w:sz w:val="24"/>
          <w:szCs w:val="24"/>
        </w:rPr>
        <w:lastRenderedPageBreak/>
        <w:t>vitale des cellules. Le rôle de l'homéostasie de la concentration de glucose dans le sang est mieux représenté par le fait que si pour la majorité des organes (cœur, muscles) le glucose ne représente qu'une source d'énergie alternative, pour le tissu nerveux il représente la quasi unique source d'énergie (en cas d'inanition le cerveau peut utiliser, en faible quantité, d'autres ressources énergétiques comme les corps cétoniques). Ceci impose un maintien strict de l'homéostasie glycémique. Les variations de la glycémie vers l'</w:t>
      </w:r>
      <w:r>
        <w:rPr>
          <w:rFonts w:ascii="Times New Roman" w:eastAsia="Times New Roman" w:hAnsi="Times New Roman" w:cs="Times New Roman"/>
          <w:i/>
          <w:sz w:val="24"/>
          <w:szCs w:val="24"/>
        </w:rPr>
        <w:t xml:space="preserve">hypoglycémie </w:t>
      </w:r>
      <w:r>
        <w:rPr>
          <w:rFonts w:ascii="Times New Roman" w:eastAsia="Times New Roman" w:hAnsi="Times New Roman" w:cs="Times New Roman"/>
          <w:sz w:val="24"/>
          <w:szCs w:val="24"/>
        </w:rPr>
        <w:t>ou l'</w:t>
      </w:r>
      <w:r>
        <w:rPr>
          <w:rFonts w:ascii="Times New Roman" w:eastAsia="Times New Roman" w:hAnsi="Times New Roman" w:cs="Times New Roman"/>
          <w:i/>
          <w:sz w:val="24"/>
          <w:szCs w:val="24"/>
        </w:rPr>
        <w:t xml:space="preserve">hyperglycémie </w:t>
      </w:r>
      <w:r>
        <w:rPr>
          <w:rFonts w:ascii="Times New Roman" w:eastAsia="Times New Roman" w:hAnsi="Times New Roman" w:cs="Times New Roman"/>
          <w:sz w:val="24"/>
          <w:szCs w:val="24"/>
        </w:rPr>
        <w:t>entraînent des processus pathologiques cellulaires (en premier lieu dans le cerveau) avec des conséquences graves pour l'organisme.</w:t>
      </w:r>
    </w:p>
    <w:p w14:paraId="1777F12B" w14:textId="77777777" w:rsidR="00D24541" w:rsidRDefault="00D24541" w:rsidP="00D24541">
      <w:pPr>
        <w:ind w:left="142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Étiologie générale des troubles du métabolisme glucidique</w:t>
      </w:r>
    </w:p>
    <w:p w14:paraId="6F6BB684"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de la consommation d'hydrates de carbone</w:t>
      </w:r>
    </w:p>
    <w:p w14:paraId="1245EA2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consommation d'hydrates de carbone peut être modifiée par des changements dans la motivation alimentaire ou la disponibilité des hydrates de carbone nécessaires. La motivation alimentaire présente à la fois une caractéristique générale, non spécifique à la prise de nourriture (sensation de faim), et une caractéristique sélective en tant que besoin spécifique d'ingérer certaines substances nutritives. Chez l'homme, cette capacité se manifeste par certaines "préférences culinaires" ou par des perversions gustatives (consommation de craie par les femmes enceintes).</w:t>
      </w:r>
    </w:p>
    <w:p w14:paraId="1F33B75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Plus fréquemment, il existe des troubles généraux de la motivation alimentaire qui s'expriment par une faim insatiable (</w:t>
      </w:r>
      <w:r>
        <w:rPr>
          <w:rFonts w:ascii="Times New Roman" w:eastAsia="Times New Roman" w:hAnsi="Times New Roman" w:cs="Times New Roman"/>
          <w:i/>
          <w:sz w:val="24"/>
          <w:szCs w:val="24"/>
        </w:rPr>
        <w:t>hyperrexie, boulimie</w:t>
      </w:r>
      <w:r>
        <w:rPr>
          <w:rFonts w:ascii="Times New Roman" w:eastAsia="Times New Roman" w:hAnsi="Times New Roman" w:cs="Times New Roman"/>
          <w:sz w:val="24"/>
          <w:szCs w:val="24"/>
        </w:rPr>
        <w:t xml:space="preserve">) avec une suralimentation </w:t>
      </w:r>
      <w:r>
        <w:rPr>
          <w:rFonts w:ascii="Times New Roman" w:eastAsia="Times New Roman" w:hAnsi="Times New Roman" w:cs="Times New Roman"/>
          <w:i/>
          <w:sz w:val="24"/>
          <w:szCs w:val="24"/>
        </w:rPr>
        <w:t>(polyphagie</w:t>
      </w:r>
      <w:r>
        <w:rPr>
          <w:rFonts w:ascii="Times New Roman" w:eastAsia="Times New Roman" w:hAnsi="Times New Roman" w:cs="Times New Roman"/>
          <w:sz w:val="24"/>
          <w:szCs w:val="24"/>
        </w:rPr>
        <w:t>), par une diminution (</w:t>
      </w:r>
      <w:r>
        <w:rPr>
          <w:rFonts w:ascii="Times New Roman" w:eastAsia="Times New Roman" w:hAnsi="Times New Roman" w:cs="Times New Roman"/>
          <w:i/>
          <w:sz w:val="24"/>
          <w:szCs w:val="24"/>
        </w:rPr>
        <w:t>hyporexie</w:t>
      </w:r>
      <w:r>
        <w:rPr>
          <w:rFonts w:ascii="Times New Roman" w:eastAsia="Times New Roman" w:hAnsi="Times New Roman" w:cs="Times New Roman"/>
          <w:sz w:val="24"/>
          <w:szCs w:val="24"/>
        </w:rPr>
        <w:t>) jusqu'à l'absence totale de sensation de faim (</w:t>
      </w:r>
      <w:r>
        <w:rPr>
          <w:rFonts w:ascii="Times New Roman" w:eastAsia="Times New Roman" w:hAnsi="Times New Roman" w:cs="Times New Roman"/>
          <w:i/>
          <w:sz w:val="24"/>
          <w:szCs w:val="24"/>
        </w:rPr>
        <w:t>anorexie</w:t>
      </w:r>
      <w:r>
        <w:rPr>
          <w:rFonts w:ascii="Times New Roman" w:eastAsia="Times New Roman" w:hAnsi="Times New Roman" w:cs="Times New Roman"/>
          <w:sz w:val="24"/>
          <w:szCs w:val="24"/>
        </w:rPr>
        <w:t>). Parmi les facteurs étiologiques de ces troubles, on peut citer : les troubles de l'activité nerveuse dans les maladies neurologiques et psychiatriques (ex : schizophrénie) ; les troubles du tube digestif (ex : anacidité gastrique) ; les traditions alimentaires et culinaires (ethniques, familiales) ; la motivation qui s'impose rationnellement avec des objectifs de perte d'attente, etc.</w:t>
      </w:r>
    </w:p>
    <w:p w14:paraId="1E0DB67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disponibilité des substances nutritives est un facteur important dans les troubles du métabolisme des glucides. L'alimentation humaine comprend les glucides suivants : </w:t>
      </w:r>
      <w:r>
        <w:rPr>
          <w:rFonts w:ascii="Times New Roman" w:eastAsia="Times New Roman" w:hAnsi="Times New Roman" w:cs="Times New Roman"/>
          <w:i/>
          <w:sz w:val="24"/>
          <w:szCs w:val="24"/>
        </w:rPr>
        <w:t xml:space="preserve">monosaccharides </w:t>
      </w:r>
      <w:r>
        <w:rPr>
          <w:rFonts w:ascii="Times New Roman" w:eastAsia="Times New Roman" w:hAnsi="Times New Roman" w:cs="Times New Roman"/>
          <w:sz w:val="24"/>
          <w:szCs w:val="24"/>
        </w:rPr>
        <w:t xml:space="preserve">(glucose, fructose et galactose) ; </w:t>
      </w:r>
      <w:r>
        <w:rPr>
          <w:rFonts w:ascii="Times New Roman" w:eastAsia="Times New Roman" w:hAnsi="Times New Roman" w:cs="Times New Roman"/>
          <w:i/>
          <w:sz w:val="24"/>
          <w:szCs w:val="24"/>
        </w:rPr>
        <w:t xml:space="preserve">disaccharides </w:t>
      </w:r>
      <w:r>
        <w:rPr>
          <w:rFonts w:ascii="Times New Roman" w:eastAsia="Times New Roman" w:hAnsi="Times New Roman" w:cs="Times New Roman"/>
          <w:sz w:val="24"/>
          <w:szCs w:val="24"/>
        </w:rPr>
        <w:t xml:space="preserve">(saccharose, lactose et maltose) ; </w:t>
      </w:r>
      <w:r>
        <w:rPr>
          <w:rFonts w:ascii="Times New Roman" w:eastAsia="Times New Roman" w:hAnsi="Times New Roman" w:cs="Times New Roman"/>
          <w:i/>
          <w:sz w:val="24"/>
          <w:szCs w:val="24"/>
        </w:rPr>
        <w:t xml:space="preserve">polysaccharides </w:t>
      </w:r>
      <w:r>
        <w:rPr>
          <w:rFonts w:ascii="Times New Roman" w:eastAsia="Times New Roman" w:hAnsi="Times New Roman" w:cs="Times New Roman"/>
          <w:sz w:val="24"/>
          <w:szCs w:val="24"/>
        </w:rPr>
        <w:t xml:space="preserve">(amidon, glycogène et cellulose) (il convient de mentionner que la cellulose alimentaire n'est pas digestible pour l'homme et qu'elle ne forme que des structures mécaniques jouant un rôle de support et d'absorption pour les enzymes digestives et les substances nutritives, excitateur naturel de la motilité intestinale). Les glucides ingérés sont utilisés par l'organisme de préférence comme sources d'énergie (environ 40 % de toute l'énergie nécessaire à l'organisme est fournie par les glucides), mais ils jouent également un rôle plastique dans la synthèse de certaines substances structurelles (acides nucléaires, glycosoaminoglycanes). Tous les hydrates de carbone s'échangent réciproquement car le principal hydrate de carbone est le </w:t>
      </w:r>
      <w:r>
        <w:rPr>
          <w:rFonts w:ascii="Times New Roman" w:eastAsia="Times New Roman" w:hAnsi="Times New Roman" w:cs="Times New Roman"/>
          <w:i/>
          <w:sz w:val="24"/>
          <w:szCs w:val="24"/>
        </w:rPr>
        <w:t>glucose.</w:t>
      </w:r>
      <w:r>
        <w:rPr>
          <w:rFonts w:ascii="Times New Roman" w:eastAsia="Times New Roman" w:hAnsi="Times New Roman" w:cs="Times New Roman"/>
          <w:sz w:val="24"/>
          <w:szCs w:val="24"/>
        </w:rPr>
        <w:t xml:space="preserve"> Outre les glucides exogènes, ceux-ci peuvent être synthétisés dans l'organisme à partir de substances non glucidiques (acides aminés, pyruvate, glutamate, etc.).</w:t>
      </w:r>
    </w:p>
    <w:p w14:paraId="0F1E952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Consommation d'hydrates de carbone.</w:t>
      </w:r>
      <w:r>
        <w:rPr>
          <w:rFonts w:ascii="Times New Roman" w:eastAsia="Times New Roman" w:hAnsi="Times New Roman" w:cs="Times New Roman"/>
          <w:sz w:val="24"/>
          <w:szCs w:val="24"/>
        </w:rPr>
        <w:t xml:space="preserve"> En raison de la grande diversité de la nature, de la disponibilité et du coût relativement faible des hydrates de carbone, un déficit spontané de l'alimentation en hydrates de carbone se produit rarement. Plus fréquemment, on peut rencontrer la situation inverse, lorsque les besoins énergétiques de l'organisme sont satisfaits exclusivement par une consommation exagérée d'hydrates de carbone avec une réduction partielle des autres ingrédients alimentaires, en particulier des protéines.</w:t>
      </w:r>
    </w:p>
    <w:p w14:paraId="234BE3EA" w14:textId="77777777" w:rsidR="00D24541" w:rsidRDefault="00D24541" w:rsidP="00D24541">
      <w:pPr>
        <w:spacing w:after="200"/>
        <w:ind w:firstLine="708"/>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Une consommation excessive d'hydrates de carbone se traduit par une </w:t>
      </w:r>
      <w:r>
        <w:rPr>
          <w:rFonts w:ascii="Times New Roman" w:eastAsia="Times New Roman" w:hAnsi="Times New Roman" w:cs="Times New Roman"/>
          <w:i/>
          <w:sz w:val="24"/>
          <w:szCs w:val="24"/>
        </w:rPr>
        <w:t>hyperglycémie</w:t>
      </w:r>
      <w:r>
        <w:rPr>
          <w:rFonts w:ascii="Times New Roman" w:eastAsia="Times New Roman" w:hAnsi="Times New Roman" w:cs="Times New Roman"/>
          <w:sz w:val="24"/>
          <w:szCs w:val="24"/>
        </w:rPr>
        <w:t xml:space="preserve">, tandis qu'un déficit alimentaire se traduit par une </w:t>
      </w:r>
      <w:r>
        <w:rPr>
          <w:rFonts w:ascii="Times New Roman" w:eastAsia="Times New Roman" w:hAnsi="Times New Roman" w:cs="Times New Roman"/>
          <w:i/>
          <w:sz w:val="24"/>
          <w:szCs w:val="24"/>
        </w:rPr>
        <w:t>hypoglycémie</w:t>
      </w:r>
      <w:r>
        <w:rPr>
          <w:rFonts w:ascii="Times New Roman" w:eastAsia="Times New Roman" w:hAnsi="Times New Roman" w:cs="Times New Roman"/>
          <w:sz w:val="24"/>
          <w:szCs w:val="24"/>
        </w:rPr>
        <w:t>.</w:t>
      </w:r>
    </w:p>
    <w:p w14:paraId="3173421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consommation qualitative non équilibrée d'hydrates de carbone, la substitution réciproque d'hydrates de carbone dans le régime alimentaire, n'a pas de conséquences pathologiques, car les hydrates de carbone ne </w:t>
      </w:r>
      <w:r>
        <w:rPr>
          <w:rFonts w:ascii="Times New Roman" w:eastAsia="Times New Roman" w:hAnsi="Times New Roman" w:cs="Times New Roman"/>
          <w:sz w:val="24"/>
          <w:szCs w:val="24"/>
        </w:rPr>
        <w:lastRenderedPageBreak/>
        <w:t xml:space="preserve">représentent pas des substances non substituables (substances essentielles). La consommation prédominante de monosaccharides facilement assimilables n'entraîne pas de symptômes digestifs pathologiques, mais principalement des effets métaboliques associés à l'hyperglycémie. La consommation prédominante de polysaccharides produit à la fois des effets métaboliques et digestifs. </w:t>
      </w:r>
    </w:p>
    <w:p w14:paraId="2DBACA57"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de la digestion des glucides - maldigestion des glucides</w:t>
      </w:r>
    </w:p>
    <w:p w14:paraId="71F1339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digestion des glucides représente la transformation de glucides complexes aux propriétés hétérogènes (di-oligo-polysaccharides) en glucides élémentaires génétiquement indifférents - les </w:t>
      </w:r>
      <w:r>
        <w:rPr>
          <w:rFonts w:ascii="Times New Roman" w:eastAsia="Times New Roman" w:hAnsi="Times New Roman" w:cs="Times New Roman"/>
          <w:i/>
          <w:sz w:val="24"/>
          <w:szCs w:val="24"/>
        </w:rPr>
        <w:t xml:space="preserve">monosaccharides </w:t>
      </w:r>
      <w:r>
        <w:rPr>
          <w:rFonts w:ascii="Times New Roman" w:eastAsia="Times New Roman" w:hAnsi="Times New Roman" w:cs="Times New Roman"/>
          <w:sz w:val="24"/>
          <w:szCs w:val="24"/>
        </w:rPr>
        <w:t xml:space="preserve">(glucose, fructose et galactose). Ce processus se produit lors du passage du bol alimentaire dans le tube digestif et de son exposition à l'action des enzymes digestives : amylase salivaire, amylase pancréatique, disaccahridases intestinales (saccharase, lactase et maltase). Respectivement, les troubles des hydrates de carbone peuvent se développer à n'importe quel niveau de ce transporteur enzymatique. La maldigestion des hydrates de carbone a pour facteurs étiologiques des troubles de la sécrétion de l'amylase salivaire, de l'amylase pancréatique et de la disaccharidase intestinale. </w:t>
      </w:r>
    </w:p>
    <w:p w14:paraId="4D55D6D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conséquences métaboliques de la maldigestion des hydrates de carbone sont leur déficit en </w:t>
      </w:r>
      <w:r>
        <w:rPr>
          <w:rFonts w:ascii="Times New Roman" w:eastAsia="Times New Roman" w:hAnsi="Times New Roman" w:cs="Times New Roman"/>
          <w:i/>
          <w:sz w:val="24"/>
          <w:szCs w:val="24"/>
        </w:rPr>
        <w:t>hypoglycémie</w:t>
      </w:r>
      <w:r>
        <w:rPr>
          <w:rFonts w:ascii="Times New Roman" w:eastAsia="Times New Roman" w:hAnsi="Times New Roman" w:cs="Times New Roman"/>
          <w:sz w:val="24"/>
          <w:szCs w:val="24"/>
        </w:rPr>
        <w:t>.</w:t>
      </w:r>
    </w:p>
    <w:p w14:paraId="7120CB67"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de l'absorption intestinale des glucides - malabsorption</w:t>
      </w:r>
    </w:p>
    <w:p w14:paraId="1228169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Parmi l'ensemble des glucides, seuls les monosaccharides (glucose, fructose, galactose) sont absorbés par l'intestin dans l'environnement interne de l'organisme. L'absorption des monosaccharides se fait tout au long du tube digestif, en commençant par la bouche, mais la plus grande quantité est absorbée dans l'intestin grêle. L'absorption des monosaccharides est un processus actif qui nécessite de l'énergie. L'absorption des monosaccharides se faisant principalement au niveau de l'intestin grêle, les causes de la malabsorption des glucides sont les troubles intestinaux : inflammation (entérite), défauts génétiques des entérocytes (absence congénitale d'enzymes). Les conséquences de la malabsorption des glucides sont des effets digestifs pathologiques (présence de glucides dans les selles, dyspepsie glucidique etc...) et des effets métaboliques (déficit glucidique - </w:t>
      </w:r>
      <w:r>
        <w:rPr>
          <w:rFonts w:ascii="Times New Roman" w:eastAsia="Times New Roman" w:hAnsi="Times New Roman" w:cs="Times New Roman"/>
          <w:i/>
          <w:sz w:val="24"/>
          <w:szCs w:val="24"/>
        </w:rPr>
        <w:t>hypoglycémie</w:t>
      </w:r>
      <w:r>
        <w:rPr>
          <w:rFonts w:ascii="Times New Roman" w:eastAsia="Times New Roman" w:hAnsi="Times New Roman" w:cs="Times New Roman"/>
          <w:sz w:val="24"/>
          <w:szCs w:val="24"/>
        </w:rPr>
        <w:t>).</w:t>
      </w:r>
    </w:p>
    <w:p w14:paraId="26F6A519" w14:textId="77777777" w:rsidR="00D24541" w:rsidRDefault="00D24541" w:rsidP="00D24541">
      <w:pPr>
        <w:numPr>
          <w:ilvl w:val="0"/>
          <w:numId w:val="2"/>
        </w:numPr>
        <w:spacing w:after="200"/>
        <w:ind w:firstLine="70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Troubles de la transformation des glucides intermédiaires dans le foie </w:t>
      </w:r>
    </w:p>
    <w:p w14:paraId="5F28838D" w14:textId="77777777" w:rsidR="00D24541" w:rsidRDefault="00D24541" w:rsidP="00D24541">
      <w:pPr>
        <w:spacing w:after="20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foie joue un rôle important dans l'homéostasie des glucides - fonction du </w:t>
      </w:r>
      <w:r>
        <w:rPr>
          <w:rFonts w:ascii="Times New Roman" w:eastAsia="Times New Roman" w:hAnsi="Times New Roman" w:cs="Times New Roman"/>
          <w:i/>
          <w:sz w:val="24"/>
          <w:szCs w:val="24"/>
        </w:rPr>
        <w:t>glucostat.</w:t>
      </w:r>
      <w:r>
        <w:rPr>
          <w:rFonts w:ascii="Times New Roman" w:eastAsia="Times New Roman" w:hAnsi="Times New Roman" w:cs="Times New Roman"/>
          <w:sz w:val="24"/>
          <w:szCs w:val="24"/>
        </w:rPr>
        <w:t xml:space="preserve"> Les principaux processus métaboliques dans le foie sont les suivants</w:t>
      </w:r>
    </w:p>
    <w:p w14:paraId="304B9F66"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absorption du glucose, du galactose et du fructose dans le sang portal ;</w:t>
      </w:r>
    </w:p>
    <w:p w14:paraId="602EEA76"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conversion du fructose et du galactose en glucose ;</w:t>
      </w:r>
    </w:p>
    <w:p w14:paraId="02E5ABFA"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synthèse du glycogène à partir du glucose </w:t>
      </w:r>
      <w:r>
        <w:rPr>
          <w:rFonts w:ascii="Times New Roman" w:eastAsia="Times New Roman" w:hAnsi="Times New Roman" w:cs="Times New Roman"/>
          <w:i/>
          <w:sz w:val="24"/>
          <w:szCs w:val="24"/>
        </w:rPr>
        <w:t xml:space="preserve">(glycogénogenèse) </w:t>
      </w:r>
      <w:r>
        <w:rPr>
          <w:rFonts w:ascii="Times New Roman" w:eastAsia="Times New Roman" w:hAnsi="Times New Roman" w:cs="Times New Roman"/>
          <w:sz w:val="24"/>
          <w:szCs w:val="24"/>
        </w:rPr>
        <w:t>;</w:t>
      </w:r>
    </w:p>
    <w:p w14:paraId="40035A01"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dégradation du glycogène stocké (</w:t>
      </w:r>
      <w:r>
        <w:rPr>
          <w:rFonts w:ascii="Times New Roman" w:eastAsia="Times New Roman" w:hAnsi="Times New Roman" w:cs="Times New Roman"/>
          <w:i/>
          <w:sz w:val="24"/>
          <w:szCs w:val="24"/>
        </w:rPr>
        <w:t xml:space="preserve">glycogénolyse) </w:t>
      </w:r>
      <w:r>
        <w:rPr>
          <w:rFonts w:ascii="Times New Roman" w:eastAsia="Times New Roman" w:hAnsi="Times New Roman" w:cs="Times New Roman"/>
          <w:sz w:val="24"/>
          <w:szCs w:val="24"/>
        </w:rPr>
        <w:t>;</w:t>
      </w:r>
    </w:p>
    <w:p w14:paraId="5BA0BD71"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dégradation du glucose jusqu'à l'acide piruvique et l'acétyl-KoA (</w:t>
      </w:r>
      <w:r>
        <w:rPr>
          <w:rFonts w:ascii="Times New Roman" w:eastAsia="Times New Roman" w:hAnsi="Times New Roman" w:cs="Times New Roman"/>
          <w:i/>
          <w:sz w:val="24"/>
          <w:szCs w:val="24"/>
        </w:rPr>
        <w:t>glycolyse</w:t>
      </w:r>
      <w:r>
        <w:rPr>
          <w:rFonts w:ascii="Times New Roman" w:eastAsia="Times New Roman" w:hAnsi="Times New Roman" w:cs="Times New Roman"/>
          <w:sz w:val="24"/>
          <w:szCs w:val="24"/>
        </w:rPr>
        <w:t>) ;</w:t>
      </w:r>
    </w:p>
    <w:p w14:paraId="40908A2B"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oxydation de l'acétyl-KoA dans les mitochondries jusqu'aux produits finaux (dioxyde de carbone et eau) ;</w:t>
      </w:r>
    </w:p>
    <w:p w14:paraId="04115F9A"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décomposition du glucose dans le cycle du pentozosphate avec synthèse d'acides nucléiques et de donneurs de protons (NADPH) ;</w:t>
      </w:r>
    </w:p>
    <w:p w14:paraId="298D5177" w14:textId="77777777" w:rsidR="00D24541" w:rsidRDefault="00D24541" w:rsidP="00D24541">
      <w:pPr>
        <w:numPr>
          <w:ilvl w:val="0"/>
          <w:numId w:val="4"/>
        </w:numPr>
        <w:spacing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synthèse des glucides à partir de produits non sucrés - </w:t>
      </w:r>
      <w:r>
        <w:rPr>
          <w:rFonts w:ascii="Times New Roman" w:eastAsia="Times New Roman" w:hAnsi="Times New Roman" w:cs="Times New Roman"/>
          <w:i/>
          <w:sz w:val="24"/>
          <w:szCs w:val="24"/>
        </w:rPr>
        <w:t xml:space="preserve">gluconéogenèse </w:t>
      </w:r>
      <w:r>
        <w:rPr>
          <w:rFonts w:ascii="Times New Roman" w:eastAsia="Times New Roman" w:hAnsi="Times New Roman" w:cs="Times New Roman"/>
          <w:sz w:val="24"/>
          <w:szCs w:val="24"/>
        </w:rPr>
        <w:t>à partir de l'acide pyruvique, du lactate, des acides aminés ;</w:t>
      </w:r>
    </w:p>
    <w:p w14:paraId="2D7B16C0" w14:textId="77777777" w:rsidR="00D24541" w:rsidRDefault="00D24541" w:rsidP="00D24541">
      <w:pPr>
        <w:numPr>
          <w:ilvl w:val="0"/>
          <w:numId w:val="4"/>
        </w:numPr>
        <w:spacing w:after="200" w:line="240" w:lineRule="auto"/>
        <w:ind w:hanging="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Synthèse des graisses à partir des hydrates de carbone </w:t>
      </w:r>
      <w:r>
        <w:rPr>
          <w:rFonts w:ascii="Times New Roman" w:eastAsia="Times New Roman" w:hAnsi="Times New Roman" w:cs="Times New Roman"/>
          <w:i/>
          <w:sz w:val="24"/>
          <w:szCs w:val="24"/>
        </w:rPr>
        <w:t xml:space="preserve">-lipogenèse </w:t>
      </w:r>
      <w:r>
        <w:rPr>
          <w:rFonts w:ascii="Times New Roman" w:eastAsia="Times New Roman" w:hAnsi="Times New Roman" w:cs="Times New Roman"/>
          <w:sz w:val="24"/>
          <w:szCs w:val="24"/>
        </w:rPr>
        <w:t>à partir de l'acétate.</w:t>
      </w:r>
    </w:p>
    <w:p w14:paraId="6624996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Chacune de ces fonctions joue un rôle important non seulement pour le foie, mais aussi pour l'ensemble de l'organisme. C'est pourquoi les troubles du métabolisme hépatique ont des conséquences négatives sur l'ensemble de l'organisme.</w:t>
      </w:r>
    </w:p>
    <w:p w14:paraId="251D82C6"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L'insuffisance métabolique du foie a des conséquences complexes sur le métabolisme des glucides, qui se manifestent par l'incapacité des hépatocytes à effectuer la glycogénogenèse, une tolérance réduite aux glucides et une diminution des réserves de glycogène, une mobilisation intensive des graisses du tissu adipeux. L'insuffisance hépatique se manifeste par des épisodes d'hyperglycémie exagérée après la prise alimentaire associée à une hypoglycémie pendant la période interdigestive. </w:t>
      </w:r>
    </w:p>
    <w:p w14:paraId="782E998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Après l'ingestion d'hydrates de carbone, les hydrates de carbone qui ont été absorbés dans l'intestin arrivent au foie par la circulation portale. Les hépatocytes lésés ne sont pas en mesure d'assimiler les glucides sanguins pour la synthèse du glycogène, c'est pourquoi ces glucides passent dans la circulation systémique avec le développement d'une </w:t>
      </w:r>
      <w:r>
        <w:rPr>
          <w:rFonts w:ascii="Times New Roman" w:eastAsia="Times New Roman" w:hAnsi="Times New Roman" w:cs="Times New Roman"/>
          <w:i/>
          <w:sz w:val="24"/>
          <w:szCs w:val="24"/>
        </w:rPr>
        <w:t>hyperglycémie systémique</w:t>
      </w:r>
      <w:r>
        <w:rPr>
          <w:rFonts w:ascii="Times New Roman" w:eastAsia="Times New Roman" w:hAnsi="Times New Roman" w:cs="Times New Roman"/>
          <w:sz w:val="24"/>
          <w:szCs w:val="24"/>
        </w:rPr>
        <w:t xml:space="preserve">. La diminution de la tolérance aux hydrates de carbone peut être détectée par un test fonctionnel de surcharge en glucose, qui consiste en l'ingestion orale de 50 g de glucose et la détermination de la glycémie initiale après l'ingestion et pendant 2,5 heures après l'ingestion. En cas d'insuffisance hépatique, il y a une hypoglycémie initiale. Après l'ingestion de glucose, une hyperglycémie exagérée se développe avec un retour tardif à la valeur normale de la glycémie. L'hyperglycémie alimentaire stimule la sécrétion d'insuline qui, en cas d'incompétence des hépatocytes, n'assure pas la synthèse et le stockage du glycogène dans le foie et ne réduit pas l'hyperglycémie. Une hyperglycémie exagérée peut induire une </w:t>
      </w:r>
      <w:r>
        <w:rPr>
          <w:rFonts w:ascii="Times New Roman" w:eastAsia="Times New Roman" w:hAnsi="Times New Roman" w:cs="Times New Roman"/>
          <w:i/>
          <w:sz w:val="24"/>
          <w:szCs w:val="24"/>
        </w:rPr>
        <w:t>glucosurie</w:t>
      </w:r>
      <w:r>
        <w:rPr>
          <w:rFonts w:ascii="Times New Roman" w:eastAsia="Times New Roman" w:hAnsi="Times New Roman" w:cs="Times New Roman"/>
          <w:sz w:val="24"/>
          <w:szCs w:val="24"/>
        </w:rPr>
        <w:t xml:space="preserve">. Au contraire, dans les intervalles entre deux prises alimentaires, le manque de glycogène dans le foie et l'incapacité de celui-ci à effectuer la néoglucogenèse font que cette hypoglycémie persiste avec des symptômes cliniques caractéristiques : asthénie nerveuse et musculaire, faiblesse, tremblements. L'hypoglycémie sévère induit une réaction du système nerveux et du système endocrinien : excitation du système nerveux sympathique, augmentation de la sécrétion de catécholamines par la moelle des glandes surrénales, augmentation de la sécrétion de glucocorticoïdes et de glucagon par le pancréas endocrine. Ces réactions, associées à l'épuisement du glycogène dans le foie, stimulent la lipolyse dans le tissu adipeux, la libération d'acides gras libres dans le sang et le développement d'une </w:t>
      </w:r>
      <w:r>
        <w:rPr>
          <w:rFonts w:ascii="Times New Roman" w:eastAsia="Times New Roman" w:hAnsi="Times New Roman" w:cs="Times New Roman"/>
          <w:i/>
          <w:sz w:val="24"/>
          <w:szCs w:val="24"/>
        </w:rPr>
        <w:t xml:space="preserve">hyperlipidémie de transport </w:t>
      </w:r>
      <w:r>
        <w:rPr>
          <w:rFonts w:ascii="Times New Roman" w:eastAsia="Times New Roman" w:hAnsi="Times New Roman" w:cs="Times New Roman"/>
          <w:sz w:val="24"/>
          <w:szCs w:val="24"/>
        </w:rPr>
        <w:t>avec des lipoprotéines de haute densité (HDL).</w:t>
      </w:r>
    </w:p>
    <w:p w14:paraId="2EC5BC3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raison de l'incapacité du foie à synthétiser des protéines qui transportent les lipides (apoprotéines), l'hyperlipidémie de transport est associée à une </w:t>
      </w:r>
      <w:r>
        <w:rPr>
          <w:rFonts w:ascii="Times New Roman" w:eastAsia="Times New Roman" w:hAnsi="Times New Roman" w:cs="Times New Roman"/>
          <w:i/>
          <w:sz w:val="24"/>
          <w:szCs w:val="24"/>
        </w:rPr>
        <w:t>hyperlipidémie de rétention</w:t>
      </w:r>
      <w:r>
        <w:rPr>
          <w:rFonts w:ascii="Times New Roman" w:eastAsia="Times New Roman" w:hAnsi="Times New Roman" w:cs="Times New Roman"/>
          <w:sz w:val="24"/>
          <w:szCs w:val="24"/>
        </w:rPr>
        <w:t>.  L'hyperlipidémie conduit à l'infiltration des graisses et à la dystrophie du foie, qui affecte finalement davantage les hépatocytes - à ce moment-là, la chaîne pathogène est fermée - troubles hépatiques primaires - épuisement du glycogène dans le foie - hyperlipidémie - dystrophie graisseuse du foie - troubles du métabolisme dans le foie. En outre, la sécrétion abondante de glucocorticoïdes augmente la protéolyse et la néoglucogenèse.</w:t>
      </w:r>
    </w:p>
    <w:p w14:paraId="72D19B4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manifestations de l'hyperglycémie, outre l'augmentation du taux de glucose dans le sang, sont la glucosurie et la polyurie, la déshydratation, l'hémoconcentration, la polydipsie, et éventuellement l'apparition d'un œdème interstitiel, d'une intumescence et d'une lésion osmotique des cellules, la synthèse et le stockage exagéré des graisses dans le tissu adipeux.</w:t>
      </w:r>
    </w:p>
    <w:p w14:paraId="6E401B09"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endocriniens</w:t>
      </w:r>
    </w:p>
    <w:p w14:paraId="2C5A137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métabolisme des glucides est régulé par de nombreuses hormones, qui ont un effet hypoglycémique (insuline) et hyperglycémique (glucagon, catécholamines, glucocorticoïdes et somatotropine).</w:t>
      </w:r>
    </w:p>
    <w:p w14:paraId="16AA9FE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troubles complexes du métabolisme des hydrates de carbone se traduisent par un déficit en insuline caractéristique du diabète sucré. </w:t>
      </w:r>
    </w:p>
    <w:p w14:paraId="2AC5B75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Normoglycémie </w:t>
      </w:r>
      <w:r>
        <w:rPr>
          <w:rFonts w:ascii="Times New Roman" w:eastAsia="Times New Roman" w:hAnsi="Times New Roman" w:cs="Times New Roman"/>
          <w:sz w:val="24"/>
          <w:szCs w:val="24"/>
        </w:rPr>
        <w:t>- la concentration normale de glucose dans le sang est maintenue dans des limites très étroites - 5,5 - 6 mmol/l (80-120 mg/dl ; 0,08-0,12%). La normoglycémie est le résultat de deux processus équilibrés : la consommation continue de glucose par les cellules de l'organisme et la récupération du déficit en glucose par son absorption dans le tube digestif, la mobilisation des glucides à partir des réserves endogènes (glycogénolyse) et la synthèse de novo des glucides à partir de substances non sucrées (néoglucogenèse). La prédominance absolue ou relative de l'un de ces deux processus - la consommation et l'apport - influence le niveau de glycémie et contribue à son écart par rapport à la valeur normale.</w:t>
      </w:r>
    </w:p>
    <w:p w14:paraId="7E183F13" w14:textId="77777777" w:rsidR="00D24541" w:rsidRDefault="00D24541" w:rsidP="00D24541">
      <w:pPr>
        <w:numPr>
          <w:ilvl w:val="0"/>
          <w:numId w:val="1"/>
        </w:numPr>
        <w:spacing w:line="240" w:lineRule="auto"/>
        <w:rPr>
          <w:rFonts w:ascii="Times New Roman" w:eastAsia="Times New Roman" w:hAnsi="Times New Roman" w:cs="Times New Roman"/>
          <w:b/>
        </w:rPr>
      </w:pPr>
      <w:r>
        <w:rPr>
          <w:rFonts w:ascii="Times New Roman" w:eastAsia="Times New Roman" w:hAnsi="Times New Roman" w:cs="Times New Roman"/>
          <w:b/>
        </w:rPr>
        <w:t>Contrôle hormonal de la glycémie</w:t>
      </w:r>
    </w:p>
    <w:p w14:paraId="0338C95F" w14:textId="77777777" w:rsidR="00D24541" w:rsidRDefault="00D24541" w:rsidP="00D24541">
      <w:pPr>
        <w:ind w:firstLine="708"/>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L'organisme utilise le glucose, les acides gras et d'autres substrats comme carburant pour satisfaire ses besoins énergétiques. Bien que les systèmes respiratoire et circulatoire combinent leurs efforts pour fournir à l'organisme l'oxygène nécessaire à son métabolisme, c'est le foie, de concert avec le pancréas endocrine, qui contrôle l'approvisionnement en carburant de l'organisme. Le pancréas est constitué de deux grands types de tissus : les acini et les îlots de Langerhans. Les acini sécrètent des sucs digestifs dans le duodénum et les îlots de Langerhans sécrètent des hormones dans le sang. Chaque îlot est composé de cellules bêta qui sécrètent l'</w:t>
      </w:r>
      <w:r>
        <w:rPr>
          <w:rFonts w:ascii="Times New Roman" w:eastAsia="Times New Roman" w:hAnsi="Times New Roman" w:cs="Times New Roman"/>
          <w:i/>
          <w:color w:val="292526"/>
          <w:sz w:val="24"/>
          <w:szCs w:val="24"/>
        </w:rPr>
        <w:t xml:space="preserve">insuline </w:t>
      </w:r>
      <w:r>
        <w:rPr>
          <w:rFonts w:ascii="Times New Roman" w:eastAsia="Times New Roman" w:hAnsi="Times New Roman" w:cs="Times New Roman"/>
          <w:color w:val="292526"/>
          <w:sz w:val="24"/>
          <w:szCs w:val="24"/>
        </w:rPr>
        <w:t>et l'</w:t>
      </w:r>
      <w:r>
        <w:rPr>
          <w:rFonts w:ascii="Times New Roman" w:eastAsia="Times New Roman" w:hAnsi="Times New Roman" w:cs="Times New Roman"/>
          <w:i/>
          <w:color w:val="292526"/>
          <w:sz w:val="24"/>
          <w:szCs w:val="24"/>
        </w:rPr>
        <w:t>amyline</w:t>
      </w:r>
      <w:r>
        <w:rPr>
          <w:rFonts w:ascii="Times New Roman" w:eastAsia="Times New Roman" w:hAnsi="Times New Roman" w:cs="Times New Roman"/>
          <w:color w:val="292526"/>
          <w:sz w:val="24"/>
          <w:szCs w:val="24"/>
        </w:rPr>
        <w:t xml:space="preserve">, de cellules alpha qui sécrètent le </w:t>
      </w:r>
      <w:r>
        <w:rPr>
          <w:rFonts w:ascii="Times New Roman" w:eastAsia="Times New Roman" w:hAnsi="Times New Roman" w:cs="Times New Roman"/>
          <w:i/>
          <w:color w:val="292526"/>
          <w:sz w:val="24"/>
          <w:szCs w:val="24"/>
        </w:rPr>
        <w:t xml:space="preserve">glucagon </w:t>
      </w:r>
      <w:r>
        <w:rPr>
          <w:rFonts w:ascii="Times New Roman" w:eastAsia="Times New Roman" w:hAnsi="Times New Roman" w:cs="Times New Roman"/>
          <w:color w:val="292526"/>
          <w:sz w:val="24"/>
          <w:szCs w:val="24"/>
        </w:rPr>
        <w:t xml:space="preserve">et de cellules delta qui sécrètent la </w:t>
      </w:r>
      <w:r>
        <w:rPr>
          <w:rFonts w:ascii="Times New Roman" w:eastAsia="Times New Roman" w:hAnsi="Times New Roman" w:cs="Times New Roman"/>
          <w:i/>
          <w:color w:val="292526"/>
          <w:sz w:val="24"/>
          <w:szCs w:val="24"/>
        </w:rPr>
        <w:t>somatostatine</w:t>
      </w:r>
      <w:r>
        <w:rPr>
          <w:rFonts w:ascii="Times New Roman" w:eastAsia="Times New Roman" w:hAnsi="Times New Roman" w:cs="Times New Roman"/>
          <w:color w:val="292526"/>
          <w:sz w:val="24"/>
          <w:szCs w:val="24"/>
        </w:rPr>
        <w:t>. L'insuline abaisse la concentration de glucose dans le sang en facilitant le mouvement du glucose dans les tissus de l'organisme. Le glucagon maintient la glycémie en augmentant la libération de glucose du foie dans le sang. La somatostatine inhibe la libération d'insuline et de glucagon. La somatostatine diminue également l'activité gastro-intestinale après l'ingestion de nourriture. En diminuant l'activité gastro-intestinale, on pense que la somatostatine prolonge le temps pendant lequel les aliments sont absorbés dans le sang et, en inhibant l'insuline et le glucagon, on pense qu'elle prolonge l'utilisation des nutriments absorbés par les tissus.</w:t>
      </w:r>
    </w:p>
    <w:p w14:paraId="3491F297"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 xml:space="preserve">Les tissus de l'organisme obtiennent le glucose du sang. Chez les personnes non diabétiques, la glycémie à jeun est étroitement régulée entre 80 et 90 mg/dL. Après un repas, la glycémie augmente et l'insuline est sécrétée en réponse à cette augmentation du glucose. Environ deux tiers du glucose ingéré au cours d'un repas sont éliminés du sang et stockés dans le foie sous forme de glycogène. Entre les repas, le foie libère du glucose afin de maintenir la glycémie dans sa plage normale. Le glucose est un carburant facultatif pour les tissus tels que les muscles, les tissus adipeux et le foie, qui utilisent principalement des acides gras et d'autres substrats combustibles comme source d'énergie. Le glucose qui n'est pas nécessaire pour l'énergie est stocké sous forme de glycogène ou converti en graisse. Lorsque les tissus tels que ceux du foie et des muscles squelettiques sont saturés en glycogène, le glucose supplémentaire est converti en acides gras, puis stocké sous forme de triglycérides dans les cellules adipeuses. </w:t>
      </w:r>
    </w:p>
    <w:p w14:paraId="5E1463B9" w14:textId="77777777" w:rsidR="00D24541" w:rsidRDefault="00D24541" w:rsidP="00D24541">
      <w:pPr>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 xml:space="preserve">Lorsque la glycémie tombe en dessous de la normale, comme c'est le cas entre les repas, le glycogène est décomposé par un processus appelé </w:t>
      </w:r>
      <w:r>
        <w:rPr>
          <w:rFonts w:ascii="Times New Roman" w:eastAsia="Times New Roman" w:hAnsi="Times New Roman" w:cs="Times New Roman"/>
          <w:i/>
          <w:color w:val="292526"/>
          <w:sz w:val="24"/>
          <w:szCs w:val="24"/>
        </w:rPr>
        <w:t xml:space="preserve">glycogénolyse </w:t>
      </w:r>
      <w:r>
        <w:rPr>
          <w:rFonts w:ascii="Times New Roman" w:eastAsia="Times New Roman" w:hAnsi="Times New Roman" w:cs="Times New Roman"/>
          <w:color w:val="292526"/>
          <w:sz w:val="24"/>
          <w:szCs w:val="24"/>
        </w:rPr>
        <w:t xml:space="preserve">et le glucose est libéré. Le glycogène stocké dans le foie peut être libéré dans la circulation sanguine. Bien que le muscle squelettique dispose de réserves de glycogène, il ne possède pas l'enzyme </w:t>
      </w:r>
      <w:r>
        <w:rPr>
          <w:rFonts w:ascii="Times New Roman" w:eastAsia="Times New Roman" w:hAnsi="Times New Roman" w:cs="Times New Roman"/>
          <w:i/>
          <w:color w:val="292526"/>
          <w:sz w:val="24"/>
          <w:szCs w:val="24"/>
        </w:rPr>
        <w:t xml:space="preserve">glucose-6-phosphatase </w:t>
      </w:r>
      <w:r>
        <w:rPr>
          <w:rFonts w:ascii="Times New Roman" w:eastAsia="Times New Roman" w:hAnsi="Times New Roman" w:cs="Times New Roman"/>
          <w:color w:val="292526"/>
          <w:sz w:val="24"/>
          <w:szCs w:val="24"/>
        </w:rPr>
        <w:t xml:space="preserve">qui permet au glucose d'être suffisamment dégradé pour traverser la membrane cellulaire et passer dans la circulation sanguine, ce qui limite son utilité pour la cellule musculaire. En plus de mobiliser ses réserves de glycogène, le foie synthétise le glucose à partir d'acides aminés, de glycérol et d'acide lactique dans le cadre d'un processus appelé </w:t>
      </w:r>
      <w:r>
        <w:rPr>
          <w:rFonts w:ascii="Times New Roman" w:eastAsia="Times New Roman" w:hAnsi="Times New Roman" w:cs="Times New Roman"/>
          <w:i/>
          <w:color w:val="292526"/>
          <w:sz w:val="24"/>
          <w:szCs w:val="24"/>
        </w:rPr>
        <w:t>gluconéogenèse</w:t>
      </w:r>
      <w:r>
        <w:rPr>
          <w:rFonts w:ascii="Times New Roman" w:eastAsia="Times New Roman" w:hAnsi="Times New Roman" w:cs="Times New Roman"/>
          <w:color w:val="292526"/>
          <w:sz w:val="24"/>
          <w:szCs w:val="24"/>
        </w:rPr>
        <w:t>.</w:t>
      </w:r>
    </w:p>
    <w:p w14:paraId="4F428B05" w14:textId="77777777" w:rsidR="00D24541" w:rsidRDefault="00D24541" w:rsidP="00D24541">
      <w:pPr>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La concentration de glucose dans le sang représente elle-même un mécanisme auto-contrôlé de l'équilibre glycolyse-gluconéogenèse. A noter que le foie, contrairement à d'autres organes, ne possède pas de mécanisme d'augmentation du transport transmembranaire du glucose. Du fait que le glucose se diffuse librement dans les hépatocytes, sa concentration dans le sang et dans les cellules hépatiques est équilibrée.  Ainsi, l'hépatocyte dispose en permanence d'informations sur la glycémie et réagit rapidement à ses fluctuations en augmentant la glycogénogenèse en cas d'hyperglycémie et la glycogénolyse en cas d'hypoglycémie. Une autre particularité du foie est la </w:t>
      </w:r>
      <w:r>
        <w:rPr>
          <w:rFonts w:ascii="Times New Roman" w:eastAsia="Times New Roman" w:hAnsi="Times New Roman" w:cs="Times New Roman"/>
          <w:i/>
          <w:sz w:val="24"/>
          <w:szCs w:val="24"/>
        </w:rPr>
        <w:t xml:space="preserve">glucokinase hépatique </w:t>
      </w:r>
      <w:r>
        <w:rPr>
          <w:rFonts w:ascii="Times New Roman" w:eastAsia="Times New Roman" w:hAnsi="Times New Roman" w:cs="Times New Roman"/>
          <w:sz w:val="24"/>
          <w:szCs w:val="24"/>
        </w:rPr>
        <w:t xml:space="preserve">- enzyme qui stimule la phosphorylation du glucose qui diffuse dans l'hépatocyte en le transformant en glucose-6-phosphate et finalement en glycogène. Les hépatocytes sont très sensibles à la </w:t>
      </w:r>
      <w:r>
        <w:rPr>
          <w:rFonts w:ascii="Times New Roman" w:eastAsia="Times New Roman" w:hAnsi="Times New Roman" w:cs="Times New Roman"/>
          <w:sz w:val="24"/>
          <w:szCs w:val="24"/>
        </w:rPr>
        <w:lastRenderedPageBreak/>
        <w:t>concentration de glucose dans le sang. L'insuline stimule la synthèse de la glucokinase et indirectement la synthèse du glycogène qui, en raison de son poids moléculaire élevé et de sa structure polymère, ne peut pas se diffuser à travers la membrane cytoplasmique des cellules hépatiques et est donc retenu au niveau intracellulaire - de cette façon, le surplus de glucose est éliminé du sang et stocké dans l'hépatocyte.</w:t>
      </w:r>
    </w:p>
    <w:p w14:paraId="46DC1E5A" w14:textId="77777777" w:rsidR="00D24541" w:rsidRDefault="00D24541" w:rsidP="00D24541">
      <w:pPr>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b/>
          <w:i/>
          <w:sz w:val="24"/>
          <w:szCs w:val="24"/>
        </w:rPr>
        <w:t xml:space="preserve">L'insuline. </w:t>
      </w:r>
      <w:r>
        <w:rPr>
          <w:rFonts w:ascii="Times New Roman" w:eastAsia="Times New Roman" w:hAnsi="Times New Roman" w:cs="Times New Roman"/>
          <w:color w:val="292526"/>
          <w:sz w:val="24"/>
          <w:szCs w:val="24"/>
        </w:rPr>
        <w:t>Bien que plusieurs hormones soient connues pour augmenter le taux de glucose dans le sang, l'insuline est la seule hormone connue pour avoir un effet direct sur la diminution du taux de glucose dans le sang. L'action de l'insuline est triple : (1) elle favorise l'absorption du glucose par les cellules cibles et assure le stockage du glucose sous forme de glycogène, (2) elle empêche la dégradation des graisses et du glycogène, et (3) elle inhibe la néoglucogenèse et augmente la synthèse des protéines. L'insuline favorise le stockage des graisses en augmentant le transport du glucose dans les cellules adipeuses. Elle facilite également la synthèse des triglycérides à partir du glucose dans les cellules adipeuses et inhibe la dégradation intracellulaire des triglycérides stockés. L'insuline inhibe également la dégradation des protéines et augmente la synthèse des protéines en augmentant le transport actif des acides aminés dans les cellules de l'organisme ; elle inhibe également la néoglucogenèse, c'est-à-dire la fabrication de glucose à partir de nouvelles sources, principalement des acides aminés. Lorsque le glucose et l'insuline sont présents en quantité suffisante, la dégradation des protéines est minimale car l'organisme est capable d'utiliser le glucose et les acides gras comme source de carburant. Chez les enfants et les adolescents, l'insuline est nécessaire pour une croissance et un développement normaux. La libération d'insuline par les cellules bêta du pancréas est régulée par la glycémie, augmentant lorsque celle-ci augmente et diminuant lorsqu'elle diminue. Les taux d'insuline sérique commencent à augmenter dans les minutes qui suivent un repas, atteignent un pic en 3 à 5 minutes environ, puis reviennent à leur niveau de base en 2 à 3 heures. L'insuline sécrétée par les cellules bêta pénètre dans la circulation portale et se rend directement au foie, où environ 50 % de l'insuline est utilisée ou dégradée. L'insuline, qui est rapidement liée aux tissus périphériques ou détruite par le foie ou les reins, a une demi-vie d'environ 15 minutes une fois qu'elle est libérée dans la circulation générale. Pour déclencher ses effets sur les tissus cibles, l'insuline se lie à un récepteur membranaire. De nombreuses recherches ont révélé l'existence d'une famille de transporteurs de glucose appelés GLUT-1, GLUT-2, etc. GLUT-4 est le transporteur de glucose indépendant de l'insuline pour le muscle squelettique et le tissu adipeux. Il est séquestré à l'intérieur de la membrane de ces cellules et ne peut donc pas fonctionner comme transporteur de glucose jusqu'à ce qu'un signal de l'insuline le fasse passer de son site inactif à la membrane cellulaire, où il facilite l'entrée du glucose. GLUT-2 est le principal transporteur de glucose dans les cellules bêta et les cellules hépatiques. Il a une faible affinité pour le glucose et n'agit comme transporteur que lorsque le taux de glucose plasmatique est relativement élevé, par exemple après un repas. GLUT-1 est présent dans tous les tissus. Il ne nécessite pas l'action de l'insuline et joue un rôle important dans le transport du glucose dans le système nerveux.</w:t>
      </w:r>
    </w:p>
    <w:p w14:paraId="05852CE1"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L'</w:t>
      </w:r>
      <w:r>
        <w:rPr>
          <w:rFonts w:ascii="Times New Roman" w:eastAsia="Times New Roman" w:hAnsi="Times New Roman" w:cs="Times New Roman"/>
          <w:i/>
          <w:color w:val="292526"/>
          <w:sz w:val="24"/>
          <w:szCs w:val="24"/>
        </w:rPr>
        <w:t xml:space="preserve">amyline </w:t>
      </w:r>
      <w:r>
        <w:rPr>
          <w:rFonts w:ascii="Times New Roman" w:eastAsia="Times New Roman" w:hAnsi="Times New Roman" w:cs="Times New Roman"/>
          <w:color w:val="292526"/>
          <w:sz w:val="24"/>
          <w:szCs w:val="24"/>
        </w:rPr>
        <w:t>est un peptide de 37 acides aminés qui est cosécrété avec l'insuline par les cellules bêta du pancréas en réponse au glucose et à d'autres stimulants des cellules bêta. Des études indiquent que l'amyline agit comme une hormone neuroendocrine, avec plusieurs effets qui complètent les actions de l'insuline dans la régulation de la glycémie postprandiale. Ces effets comprennent la suppression de la sécrétion de glucagon et le ralentissement de la vitesse à laquelle le glucose est acheminé vers l'intestin grêle pour y être absorbé.</w:t>
      </w:r>
    </w:p>
    <w:p w14:paraId="61176078"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 xml:space="preserve">Le </w:t>
      </w:r>
      <w:r>
        <w:rPr>
          <w:rFonts w:ascii="Times New Roman" w:eastAsia="Times New Roman" w:hAnsi="Times New Roman" w:cs="Times New Roman"/>
          <w:b/>
          <w:i/>
          <w:color w:val="292526"/>
          <w:sz w:val="24"/>
          <w:szCs w:val="24"/>
        </w:rPr>
        <w:t>glucagon</w:t>
      </w:r>
      <w:r>
        <w:rPr>
          <w:rFonts w:ascii="Times New Roman" w:eastAsia="Times New Roman" w:hAnsi="Times New Roman" w:cs="Times New Roman"/>
          <w:i/>
          <w:color w:val="292526"/>
          <w:sz w:val="24"/>
          <w:szCs w:val="24"/>
        </w:rPr>
        <w:t xml:space="preserve">, </w:t>
      </w:r>
      <w:r>
        <w:rPr>
          <w:rFonts w:ascii="Times New Roman" w:eastAsia="Times New Roman" w:hAnsi="Times New Roman" w:cs="Times New Roman"/>
          <w:color w:val="292526"/>
          <w:sz w:val="24"/>
          <w:szCs w:val="24"/>
        </w:rPr>
        <w:t xml:space="preserve">molécule polypeptidique produite par les cellules alpha des îlots de Langerhans, maintient la glycémie entre les repas et pendant les périodes de jeûne. Comme l'insuline, le glucagon emprunte la veine porte pour atteindre le foie, où il exerce sa principale action. Contrairement à l'insuline, le glucagon produit une augmentation de la glycémie. L'effet le plus spectaculaire du glucagon est sa capacité à déclencher la </w:t>
      </w:r>
      <w:r>
        <w:rPr>
          <w:rFonts w:ascii="Times New Roman" w:eastAsia="Times New Roman" w:hAnsi="Times New Roman" w:cs="Times New Roman"/>
          <w:i/>
          <w:color w:val="292526"/>
          <w:sz w:val="24"/>
          <w:szCs w:val="24"/>
        </w:rPr>
        <w:t xml:space="preserve">glycogénolyse </w:t>
      </w:r>
      <w:r>
        <w:rPr>
          <w:rFonts w:ascii="Times New Roman" w:eastAsia="Times New Roman" w:hAnsi="Times New Roman" w:cs="Times New Roman"/>
          <w:color w:val="292526"/>
          <w:sz w:val="24"/>
          <w:szCs w:val="24"/>
        </w:rPr>
        <w:t xml:space="preserve">ou la dégradation du glycogène hépatique comme moyen d'augmenter la glycémie, généralement en l'espace de quelques minutes. Le glucagon augmente également le transport des acides aminés dans le foie et stimule leur conversion en glucose, un processus appelé </w:t>
      </w:r>
      <w:r>
        <w:rPr>
          <w:rFonts w:ascii="Times New Roman" w:eastAsia="Times New Roman" w:hAnsi="Times New Roman" w:cs="Times New Roman"/>
          <w:i/>
          <w:color w:val="292526"/>
          <w:sz w:val="24"/>
          <w:szCs w:val="24"/>
        </w:rPr>
        <w:t>gluconéogenèse</w:t>
      </w:r>
      <w:r>
        <w:rPr>
          <w:rFonts w:ascii="Times New Roman" w:eastAsia="Times New Roman" w:hAnsi="Times New Roman" w:cs="Times New Roman"/>
          <w:color w:val="292526"/>
          <w:sz w:val="24"/>
          <w:szCs w:val="24"/>
        </w:rPr>
        <w:t xml:space="preserve">. Les réserves de glycogène du foie étant limitées, la néoglucogenèse joue un rôle important dans le maintien de la glycémie au fil du temps. D'autres actions du glucagon ne se produisent que lorsque l'hormone est présente à des concentrations élevées, généralement bien supérieures à celles normalement présentes dans le sang. À des concentrations élevées, le </w:t>
      </w:r>
      <w:r>
        <w:rPr>
          <w:rFonts w:ascii="Times New Roman" w:eastAsia="Times New Roman" w:hAnsi="Times New Roman" w:cs="Times New Roman"/>
          <w:color w:val="292526"/>
          <w:sz w:val="24"/>
          <w:szCs w:val="24"/>
        </w:rPr>
        <w:lastRenderedPageBreak/>
        <w:t>glucagon active la lipase des cellules adipeuses, rendant les acides gras disponibles pour une utilisation énergétique. À des concentrations très élevées, le glucagon peut augmenter la force du cœur, accroître le flux sanguin vers certains tissus, y compris les reins, augmenter la sécrétion de bile et inhiber la sécrétion d'acide gastrique. Comme pour l'insuline, la sécrétion de glucagon est régulée par la glycémie. Une diminution de la concentration de glucose dans le sang jusqu'à un niveau hypoglycémique produit une augmentation immédiate de la sécrétion de glucagon, et une augmentation du glucose dans le sang jusqu'à un niveau hyperglycémique produit une diminution de la sécrétion de glucagon. Des concentrations élevées d'acides aminés, comme c'est le cas après un repas protéiné, peuvent également stimuler la sécrétion de glucagon. Ainsi, le glucagon augmente la conversion des acides aminés en glucose afin de maintenir le taux de glucose dans l'organisme. Les niveaux de glucagon augmentent également au cours d'un exercice physique intense afin de prévenir une diminution de la glycémie.</w:t>
      </w:r>
    </w:p>
    <w:p w14:paraId="58DCC64A"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b/>
          <w:i/>
          <w:sz w:val="24"/>
          <w:szCs w:val="24"/>
        </w:rPr>
        <w:t>Hormones glucocorticoïdes</w:t>
      </w:r>
      <w:r>
        <w:rPr>
          <w:rFonts w:ascii="Times New Roman" w:eastAsia="Times New Roman" w:hAnsi="Times New Roman" w:cs="Times New Roman"/>
          <w:b/>
          <w:i/>
          <w:color w:val="2563AF"/>
          <w:sz w:val="24"/>
          <w:szCs w:val="24"/>
        </w:rPr>
        <w:t xml:space="preserve">. </w:t>
      </w:r>
      <w:r>
        <w:rPr>
          <w:rFonts w:ascii="Times New Roman" w:eastAsia="Times New Roman" w:hAnsi="Times New Roman" w:cs="Times New Roman"/>
          <w:color w:val="292526"/>
          <w:sz w:val="24"/>
          <w:szCs w:val="24"/>
        </w:rPr>
        <w:t xml:space="preserve">Les hormones glucocorticoïdes, synthétisées dans le cortex surrénalien avec d'autres hormones corticostéroïdes, sont essentielles à la survie pendant les périodes de jeûne et d'inanition. Elles stimulent la gluconéogenèse par le foie, multipliant parfois par 6 à 10 la production hépatique de glucose. Ces hormones diminuent aussi modérément l'utilisation du glucose par les tissus. Chez les personnes prédisposées, l'élévation prolongée des hormones glucocorticoïdes peut entraîner une hyperglycémie et le développement d'un diabète sucré. Chez les diabétiques, même une augmentation transitoire du cortisol peut compliquer le contrôle de la maladie. Plusieurs hormones stéroïdiennes ont une activité glucocorticoïde ; la plus importante d'entre elles est le </w:t>
      </w:r>
      <w:r>
        <w:rPr>
          <w:rFonts w:ascii="Times New Roman" w:eastAsia="Times New Roman" w:hAnsi="Times New Roman" w:cs="Times New Roman"/>
          <w:i/>
          <w:color w:val="292526"/>
          <w:sz w:val="24"/>
          <w:szCs w:val="24"/>
        </w:rPr>
        <w:t>cortisol</w:t>
      </w:r>
      <w:r>
        <w:rPr>
          <w:rFonts w:ascii="Times New Roman" w:eastAsia="Times New Roman" w:hAnsi="Times New Roman" w:cs="Times New Roman"/>
          <w:color w:val="292526"/>
          <w:sz w:val="24"/>
          <w:szCs w:val="24"/>
        </w:rPr>
        <w:t xml:space="preserve">, qui représente environ 95 % de l'activité glucocorticoïde totale. Les niveaux de cortisol augmentent pendant les périodes de stress, telles que celles produites par l'infection, la douleur, le traumatisme, la chirurgie, l'exercice prolongé et intense, et l'anxiété aiguë. L'hypoglycémie est un puissant stimulant de la sécrétion de cortisol. </w:t>
      </w:r>
      <w:r>
        <w:rPr>
          <w:rFonts w:ascii="Times New Roman" w:eastAsia="Times New Roman" w:hAnsi="Times New Roman" w:cs="Times New Roman"/>
          <w:sz w:val="24"/>
          <w:szCs w:val="24"/>
        </w:rPr>
        <w:t>Les glucocorticoïdes sont des antagonistes de l'insuline et stimulent la gluconéogenèse par l'activation de certaines enzymes spécifiques - amino-transférase, piruvate-carboxylase, glucose-6-phosphatase. Parallèlement, les glucocorticoïdes stimulent la protéolyse dans les tissus, fournissant ainsi des acides aminés pour la néoglucogenèse.</w:t>
      </w:r>
    </w:p>
    <w:p w14:paraId="28AFF7E6" w14:textId="77777777" w:rsidR="00D24541" w:rsidRDefault="00D24541" w:rsidP="00D24541">
      <w:pPr>
        <w:spacing w:line="240" w:lineRule="auto"/>
        <w:ind w:firstLine="720"/>
        <w:jc w:val="both"/>
        <w:rPr>
          <w:rFonts w:ascii="Times New Roman" w:eastAsia="Times New Roman" w:hAnsi="Times New Roman" w:cs="Times New Roman"/>
          <w:i/>
          <w:color w:val="292526"/>
          <w:sz w:val="24"/>
          <w:szCs w:val="24"/>
        </w:rPr>
      </w:pPr>
      <w:r>
        <w:rPr>
          <w:rFonts w:ascii="Times New Roman" w:eastAsia="Times New Roman" w:hAnsi="Times New Roman" w:cs="Times New Roman"/>
          <w:b/>
          <w:i/>
          <w:sz w:val="24"/>
          <w:szCs w:val="24"/>
        </w:rPr>
        <w:t>Les catécholamines</w:t>
      </w:r>
      <w:r>
        <w:rPr>
          <w:rFonts w:ascii="Times New Roman" w:eastAsia="Times New Roman" w:hAnsi="Times New Roman" w:cs="Times New Roman"/>
          <w:i/>
          <w:color w:val="2563AF"/>
          <w:sz w:val="24"/>
          <w:szCs w:val="24"/>
        </w:rPr>
        <w:t xml:space="preserve">. </w:t>
      </w:r>
      <w:r>
        <w:rPr>
          <w:rFonts w:ascii="Times New Roman" w:eastAsia="Times New Roman" w:hAnsi="Times New Roman" w:cs="Times New Roman"/>
          <w:color w:val="292526"/>
          <w:sz w:val="24"/>
          <w:szCs w:val="24"/>
        </w:rPr>
        <w:t>Les catécholamines, l'</w:t>
      </w:r>
      <w:r>
        <w:rPr>
          <w:rFonts w:ascii="Times New Roman" w:eastAsia="Times New Roman" w:hAnsi="Times New Roman" w:cs="Times New Roman"/>
          <w:i/>
          <w:color w:val="292526"/>
          <w:sz w:val="24"/>
          <w:szCs w:val="24"/>
        </w:rPr>
        <w:t xml:space="preserve">épinéphrine </w:t>
      </w:r>
      <w:r>
        <w:rPr>
          <w:rFonts w:ascii="Times New Roman" w:eastAsia="Times New Roman" w:hAnsi="Times New Roman" w:cs="Times New Roman"/>
          <w:color w:val="292526"/>
          <w:sz w:val="24"/>
          <w:szCs w:val="24"/>
        </w:rPr>
        <w:t xml:space="preserve">et la </w:t>
      </w:r>
      <w:r>
        <w:rPr>
          <w:rFonts w:ascii="Times New Roman" w:eastAsia="Times New Roman" w:hAnsi="Times New Roman" w:cs="Times New Roman"/>
          <w:i/>
          <w:color w:val="292526"/>
          <w:sz w:val="24"/>
          <w:szCs w:val="24"/>
        </w:rPr>
        <w:t xml:space="preserve">norépinéphrine, </w:t>
      </w:r>
      <w:r>
        <w:rPr>
          <w:rFonts w:ascii="Times New Roman" w:eastAsia="Times New Roman" w:hAnsi="Times New Roman" w:cs="Times New Roman"/>
          <w:color w:val="292526"/>
          <w:sz w:val="24"/>
          <w:szCs w:val="24"/>
        </w:rPr>
        <w:t>contribuent à maintenir la glycémie pendant les périodes de stress. L'épinéphrine inhibe la libération d'insuline et favorise la glycogénolyse en stimulant la conversion du glycogène musculaire et hépatique en glucose. Le glycogène musculaire ne peut pas être libéré dans le sang ; néanmoins, la mobilisation de ces réserves pour l'utilisation musculaire conserve le glucose sanguin pour l'utilisation d'autres tissus tels que le cerveau et le système nerveux. Pendant les périodes d'exercice et d'autres types de stress, l'épinéphrine inhibe la libération d'insuline par les cellules bêta et diminue ainsi le mouvement du glucose dans les cellules musculaires. Les catécholamines augmentent également l'activité de la lipase et donc la mobilisation des acides gras ; ce processus permet de conserver le glucose. L'effet d'augmentation de la glycémie de l'épinéphrine est un mécanisme homéostatique important pendant les périodes d'hypoglycémie.</w:t>
      </w:r>
    </w:p>
    <w:p w14:paraId="01C6056E"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b/>
          <w:i/>
          <w:sz w:val="24"/>
          <w:szCs w:val="24"/>
        </w:rPr>
        <w:t>L'hormone de croissance</w:t>
      </w:r>
      <w:r>
        <w:rPr>
          <w:rFonts w:ascii="Times New Roman" w:eastAsia="Times New Roman" w:hAnsi="Times New Roman" w:cs="Times New Roman"/>
          <w:b/>
          <w:i/>
          <w:color w:val="2563AF"/>
          <w:sz w:val="24"/>
          <w:szCs w:val="24"/>
        </w:rPr>
        <w:t xml:space="preserve">. </w:t>
      </w:r>
      <w:r>
        <w:rPr>
          <w:rFonts w:ascii="Times New Roman" w:eastAsia="Times New Roman" w:hAnsi="Times New Roman" w:cs="Times New Roman"/>
          <w:color w:val="292526"/>
          <w:sz w:val="24"/>
          <w:szCs w:val="24"/>
        </w:rPr>
        <w:t>L'hormone de croissance a de nombreux effets métaboliques. Elle augmente la synthèse des protéines dans toutes les cellules de l'organisme, mobilise les acides gras du tissu adipeux et s'oppose aux effets de l'insuline. L'hormone de croissance diminue l'absorption et l'utilisation du glucose par les cellules, augmentant ainsi le taux de glucose dans le sang. L'augmentation du taux de glucose dans le sang stimule la sécrétion d'insuline par les cellules bêta. La sécrétion de l'hormone de croissance est normalement inhibée par l'insuline et l'augmentation de la glycémie. Pendant les périodes de jeûne, lorsque la glycémie et la sécrétion d'insuline diminuent, le taux d'hormone de croissance augmente. L'exercice physique, comme la course à pied et le cyclisme, et divers stress, comme l'anesthésie, la fièvre et les traumatismes, augmentent les taux d'hormone de croissance. Une hypersécrétion chronique d'hormone de croissance, comme c'est le cas dans l'acromégalie, peut entraîner une intolérance au glucose et le développement d'un diabète sucré. Chez les personnes déjà atteintes de diabète, les élévations modérées des taux d'hormone de croissance qui surviennent pendant les périodes de stress et les périodes de croissance chez les enfants peuvent produire tout le spectre des anomalies métaboliques associées à une mauvaise régulation, malgré un traitement à l'insuline optimisé.</w:t>
      </w:r>
    </w:p>
    <w:p w14:paraId="24CAFC64"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p>
    <w:p w14:paraId="1A416159" w14:textId="77777777" w:rsidR="00D24541" w:rsidRDefault="00D24541" w:rsidP="00D24541">
      <w:pPr>
        <w:spacing w:line="240" w:lineRule="auto"/>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 xml:space="preserve">Contrairement à d'autres tissus corporels tels que le foie et les muscles squelettiques, qui utilisent des acides gras et d'autres substrats comme carburant, le cerveau et le système nerveux dépendent presque exclusivement du glucose pour leurs besoins énergétiques. Le cerveau ne pouvant ni synthétiser ni stocker plus de quelques minutes de glucose, le fonctionnement normal du cerveau nécessite un apport continu par la </w:t>
      </w:r>
      <w:r>
        <w:rPr>
          <w:rFonts w:ascii="Times New Roman" w:eastAsia="Times New Roman" w:hAnsi="Times New Roman" w:cs="Times New Roman"/>
          <w:color w:val="292526"/>
          <w:sz w:val="24"/>
          <w:szCs w:val="24"/>
        </w:rPr>
        <w:lastRenderedPageBreak/>
        <w:t>circulation. Une hypoglycémie sévère et prolongée peut entraîner la mort cérébrale, et une hypoglycémie même modérée peut entraîner un dysfonctionnement cérébral important. L'organisme dispose d'un système de mécanismes de contre-régulation pour contrer les situations génératrices d'hypoglycémie et assurer le fonctionnement et la survie du cerveau. Les mécanismes physiologiques qui préviennent ou corrigent l'hypoglycémie comprennent les actions des hormones de contre-régulation : le glucagon, les catécholamines, l'hormone de croissance et les glucocorticoïdes.</w:t>
      </w:r>
    </w:p>
    <w:p w14:paraId="594055B8" w14:textId="77777777" w:rsidR="00D24541" w:rsidRDefault="00D24541" w:rsidP="00D24541">
      <w:pPr>
        <w:spacing w:line="240" w:lineRule="auto"/>
        <w:ind w:firstLine="720"/>
        <w:jc w:val="both"/>
        <w:rPr>
          <w:rFonts w:ascii="Times New Roman" w:eastAsia="Times New Roman" w:hAnsi="Times New Roman" w:cs="Times New Roman"/>
          <w:color w:val="292526"/>
        </w:rPr>
      </w:pPr>
    </w:p>
    <w:p w14:paraId="14254B23" w14:textId="77777777" w:rsidR="00D24541" w:rsidRDefault="00D24541" w:rsidP="00D24541">
      <w:pPr>
        <w:spacing w:line="240" w:lineRule="auto"/>
        <w:ind w:firstLine="720"/>
        <w:jc w:val="center"/>
        <w:rPr>
          <w:rFonts w:ascii="Times New Roman" w:eastAsia="Times New Roman" w:hAnsi="Times New Roman" w:cs="Times New Roman"/>
          <w:color w:val="292526"/>
        </w:rPr>
      </w:pPr>
      <w:r>
        <w:rPr>
          <w:rFonts w:ascii="Times New Roman" w:eastAsia="Times New Roman" w:hAnsi="Times New Roman" w:cs="Times New Roman"/>
          <w:noProof/>
          <w:color w:val="292526"/>
        </w:rPr>
        <w:drawing>
          <wp:inline distT="0" distB="0" distL="0" distR="0" wp14:anchorId="7CECED52" wp14:editId="28596012">
            <wp:extent cx="5798088" cy="5617212"/>
            <wp:effectExtent l="9525" t="9525" r="9525" b="9525"/>
            <wp:docPr id="99" name="image99.jpg" descr="C:\Documents and Settings\Feghiu Leonid\Desktop\FIZIOPATOLOGIE\imagini I simestru\metabolism\GLUCOSE HOMEOSTASIS material.jpg"/>
            <wp:cNvGraphicFramePr/>
            <a:graphic xmlns:a="http://schemas.openxmlformats.org/drawingml/2006/main">
              <a:graphicData uri="http://schemas.openxmlformats.org/drawingml/2006/picture">
                <pic:pic xmlns:pic="http://schemas.openxmlformats.org/drawingml/2006/picture">
                  <pic:nvPicPr>
                    <pic:cNvPr id="0" name="image99.jpg" descr="C:\Documents and Settings\Feghiu Leonid\Desktop\FIZIOPATOLOGIE\imagini I simestru\metabolism\GLUCOSE HOMEOSTASIS material.jpg"/>
                    <pic:cNvPicPr preferRelativeResize="0"/>
                  </pic:nvPicPr>
                  <pic:blipFill>
                    <a:blip r:embed="rId7"/>
                    <a:srcRect/>
                    <a:stretch>
                      <a:fillRect/>
                    </a:stretch>
                  </pic:blipFill>
                  <pic:spPr>
                    <a:xfrm>
                      <a:off x="0" y="0"/>
                      <a:ext cx="5798088" cy="5617212"/>
                    </a:xfrm>
                    <a:prstGeom prst="rect">
                      <a:avLst/>
                    </a:prstGeom>
                    <a:ln w="9525">
                      <a:solidFill>
                        <a:srgbClr val="000000"/>
                      </a:solidFill>
                      <a:prstDash val="solid"/>
                    </a:ln>
                  </pic:spPr>
                </pic:pic>
              </a:graphicData>
            </a:graphic>
          </wp:inline>
        </w:drawing>
      </w:r>
    </w:p>
    <w:p w14:paraId="75C048A4" w14:textId="77777777" w:rsidR="00D24541" w:rsidRDefault="00D24541" w:rsidP="00D24541">
      <w:pPr>
        <w:spacing w:after="200"/>
        <w:jc w:val="center"/>
        <w:rPr>
          <w:rFonts w:ascii="Calibri" w:eastAsia="Calibri" w:hAnsi="Calibri" w:cs="Calibri"/>
        </w:rPr>
      </w:pPr>
      <w:r>
        <w:rPr>
          <w:rFonts w:ascii="Times New Roman" w:eastAsia="Times New Roman" w:hAnsi="Times New Roman" w:cs="Times New Roman"/>
          <w:b/>
          <w:color w:val="292526"/>
        </w:rPr>
        <w:t xml:space="preserve">Fig. 1. Métabolisme du glucose </w:t>
      </w:r>
      <w:r>
        <w:rPr>
          <w:rFonts w:ascii="Times New Roman" w:eastAsia="Times New Roman" w:hAnsi="Times New Roman" w:cs="Times New Roman"/>
          <w:color w:val="292526"/>
        </w:rPr>
        <w:t xml:space="preserve">(aperçu simplifié ; </w:t>
      </w:r>
      <w:r>
        <w:rPr>
          <w:rFonts w:ascii="Times New Roman" w:eastAsia="Times New Roman" w:hAnsi="Times New Roman" w:cs="Times New Roman"/>
        </w:rPr>
        <w:t>d'après Despopoulos, Color Atlas of Physiology</w:t>
      </w:r>
      <w:r>
        <w:rPr>
          <w:rFonts w:ascii="Times New Roman" w:eastAsia="Times New Roman" w:hAnsi="Times New Roman" w:cs="Times New Roman"/>
          <w:color w:val="292526"/>
        </w:rPr>
        <w:t>)</w:t>
      </w:r>
    </w:p>
    <w:p w14:paraId="6CAFADFE" w14:textId="77777777" w:rsidR="00D24541" w:rsidRDefault="00D24541" w:rsidP="00D24541">
      <w:pPr>
        <w:spacing w:after="200"/>
        <w:ind w:firstLine="708"/>
        <w:jc w:val="center"/>
        <w:rPr>
          <w:rFonts w:ascii="Times New Roman" w:eastAsia="Times New Roman" w:hAnsi="Times New Roman" w:cs="Times New Roman"/>
          <w:b/>
          <w:sz w:val="28"/>
          <w:szCs w:val="28"/>
        </w:rPr>
      </w:pPr>
    </w:p>
    <w:p w14:paraId="2AB2D133" w14:textId="77777777" w:rsidR="00D24541" w:rsidRDefault="00D24541" w:rsidP="00D24541">
      <w:pPr>
        <w:spacing w:after="200"/>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Hypoglycémie</w:t>
      </w:r>
    </w:p>
    <w:p w14:paraId="291068F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hypoglycémie </w:t>
      </w:r>
      <w:r>
        <w:rPr>
          <w:rFonts w:ascii="Times New Roman" w:eastAsia="Times New Roman" w:hAnsi="Times New Roman" w:cs="Times New Roman"/>
          <w:sz w:val="24"/>
          <w:szCs w:val="24"/>
        </w:rPr>
        <w:t xml:space="preserve">correspond à un taux de glucose dans le sang inférieur à 0,08 % (4,4 mMol/l). </w:t>
      </w:r>
    </w:p>
    <w:p w14:paraId="7597CAF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L'hypoglycémie peut être le résultat d'un apport insuffisant en glucides ou d'un catabolisme intensif des glucides dans l'organisme.  Les causes de l'hypoglycémie par apport insuffisant peuvent être la privation partielle ou totale de sucre, l'épuisement des réserves endogènes de glycogène en cas de troubles hépatiques, de troubles rénaux, de septicémie, d'hypocorticosolisme, de panhypopituitarisme, de prévalence de la glycogénogenèse sur </w:t>
      </w:r>
      <w:r>
        <w:rPr>
          <w:rFonts w:ascii="Times New Roman" w:eastAsia="Times New Roman" w:hAnsi="Times New Roman" w:cs="Times New Roman"/>
          <w:sz w:val="24"/>
          <w:szCs w:val="24"/>
        </w:rPr>
        <w:lastRenderedPageBreak/>
        <w:t xml:space="preserve">la glycogénolyse lors de l'administration d'insuline exogène. Un autre facteur étiologique important de l'hypoglycémie est la sécrétion excessive d'insuline par les cellules pancréatiques bêta (ex : dans la tumeur de l'appareil insulaire - </w:t>
      </w:r>
      <w:r>
        <w:rPr>
          <w:rFonts w:ascii="Times New Roman" w:eastAsia="Times New Roman" w:hAnsi="Times New Roman" w:cs="Times New Roman"/>
          <w:i/>
          <w:sz w:val="24"/>
          <w:szCs w:val="24"/>
        </w:rPr>
        <w:t>insulinome)</w:t>
      </w:r>
      <w:r>
        <w:rPr>
          <w:rFonts w:ascii="Times New Roman" w:eastAsia="Times New Roman" w:hAnsi="Times New Roman" w:cs="Times New Roman"/>
          <w:sz w:val="24"/>
          <w:szCs w:val="24"/>
        </w:rPr>
        <w:t>, qui augmente le stockage du glucose sous forme de glycogène et inhibe sa mobilisation même en cas d'hypoglycémie. Une cause fréquente de métabolisme excessif du glucose conduisant à l'hypoglycémie est l'hyperfonctionnement des tissus et des organes, en particulier dans l'effort musculaire (la masse des muscles squelettiques représente la moitié du poids total du corps).</w:t>
      </w:r>
    </w:p>
    <w:p w14:paraId="5B52032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réactions compensatoires en cas d'hypoglycémie </w:t>
      </w:r>
      <w:r>
        <w:rPr>
          <w:rFonts w:ascii="Times New Roman" w:eastAsia="Times New Roman" w:hAnsi="Times New Roman" w:cs="Times New Roman"/>
          <w:sz w:val="24"/>
          <w:szCs w:val="24"/>
        </w:rPr>
        <w:t>sont initiées par le système nerveux - développement d'une sensation de faim et d'un comportement spécifique orienté vers l'ingestion de nourriture, excitation du système nerveux sympathique et des glandes endocrines - hypersécrétion de corticotrophine par l'adénohypophyse, de glucocorticoïdes par le cortex des glandes surrénales, de catécholamines par la moelle des glandes surrénales, de glucagon par les cellules alpha du pancréas en association avec l'inhibition de la sécrétion d'insuline par les cellules bêta du pancréas. Les résultats finaux de ces processus sont l'inhibition de la glycogénogenèse, la stimulation de la glycogénolyse et de la néoglucogenèse, l'augmentation de la lipolyse avec une mobilisation intense des lipides du tissu adipeux, tout cela dans le but de rétablir la normoglycémie et de satisfaire les besoins énergétiques de l'organisme.</w:t>
      </w:r>
    </w:p>
    <w:p w14:paraId="7450BE0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glycogénolyse dans le foie et les reins est déclenchée par une hypoglycémie de toute origine. La glycogénolyse est surtout surveillée par les réserves d'énergie intracellulaires, mais la position stratégique est occupée par l'adénylatcyclase - une enzyme qui synthétise l'AMP cyclique. Au repos, la cellule possède de petites réserves d'AMPc. L'excitation des récepteurs de l'adénylatcyclase par l'adrénaline ou le glucagon stimule la partie catalytique de cette enzyme, ce qui entraîne la libération de radicaux phosphoriques à partir de l'ATP, leur estérification avec le ribose et la formation d'AMPc. L'effet final de l'AMPc est l'activation des enzymes intracellulaires de la glycogénolyse. L'insuline a exactement les effets inverses, en diminuant le niveau d'AMPc dans les cellules. Ainsi, les catécholamines et le glucagon augmentent la glycogénolyse, tandis que l'insuline la réduit, tout en activant la glycogénogenèse.</w:t>
      </w:r>
    </w:p>
    <w:p w14:paraId="5896BC8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Outre les effets directs sur les cellules hépatiques, l'hypoglycémie stimule la libération de glucagon par les cellules alpha-pancréatiques, qui intensifient également la glycogénolyse. Tous ces mécanismes fournissent du glucose à l'organisme jusqu'à ce que les réserves hépatiques et rénales de glycogène soient épuisées, soit environ 24 heures après le début de l'inanition glucidique. Dès l'épuisement des réserves de glycogène et l'apparition d'une hypoglycémie critique pour le cerveau, les glandes surrénales sont impliquées dans des réactions compensatoires avec une hypersécrétion de </w:t>
      </w:r>
      <w:r>
        <w:rPr>
          <w:rFonts w:ascii="Times New Roman" w:eastAsia="Times New Roman" w:hAnsi="Times New Roman" w:cs="Times New Roman"/>
          <w:i/>
          <w:sz w:val="24"/>
          <w:szCs w:val="24"/>
        </w:rPr>
        <w:t>glucocorticoïdes</w:t>
      </w:r>
      <w:r>
        <w:rPr>
          <w:rFonts w:ascii="Times New Roman" w:eastAsia="Times New Roman" w:hAnsi="Times New Roman" w:cs="Times New Roman"/>
          <w:sz w:val="24"/>
          <w:szCs w:val="24"/>
        </w:rPr>
        <w:t xml:space="preserve">, qui déclenchent la gluconéogenèse en stimulant la synthèse des enzymes gluconéogénétiques, la stimulation de la protéolyse dans les tissus lymphoïdes, le tissu conjonctif et les muscles squelettiques, fournissant ainsi les acides aminés nécessaires à la synthèse du glucose par le mécanisme de la gluconéogenèse. Ainsi, les acides aminés libérés par la protéolyse sont utilisés pour la synthèse du glucose. L'essence de cette réaction est de maintenir le niveau normal de glycémie pour le cerveau, après l'épuisement des réserves de glycogène du foie, par la néoformation du glucose à partir de produits non sucrés - acide pyruvique, glutamate et autres acides aminés. Chez les personnes en bonne santé, les processus de néoglucogenèse sont contrariés par l'insuline. Parallèlement à la dégradation des protéines et à l'utilisation des acides aminés pour la néoglucogenèse, certains effets pathogènes se développent, tels que la lyse du tissu conjonctif, l'atrophie du tissu lymphoïde avec suppression immunitaire, l'atrophie des muscles squelettiques. </w:t>
      </w:r>
    </w:p>
    <w:p w14:paraId="29CA6FE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Outre les effets décrits, l'hypoglycémie entraîne une diminution des réserves de glycogène dans le foie, ce qui intensifie la lipolyse dans le tissu adipeux, associée à une augmentation du taux de lipides dans le sang - </w:t>
      </w:r>
      <w:r>
        <w:rPr>
          <w:rFonts w:ascii="Times New Roman" w:eastAsia="Times New Roman" w:hAnsi="Times New Roman" w:cs="Times New Roman"/>
          <w:i/>
          <w:sz w:val="24"/>
          <w:szCs w:val="24"/>
        </w:rPr>
        <w:t xml:space="preserve">transportant une hyperlipidémie </w:t>
      </w:r>
      <w:r>
        <w:rPr>
          <w:rFonts w:ascii="Times New Roman" w:eastAsia="Times New Roman" w:hAnsi="Times New Roman" w:cs="Times New Roman"/>
          <w:sz w:val="24"/>
          <w:szCs w:val="24"/>
        </w:rPr>
        <w:t xml:space="preserve">avec des lipoprotéines de très haute densité (acides gras associés à de l'albumine </w:t>
      </w:r>
      <w:r>
        <w:rPr>
          <w:rFonts w:ascii="Times New Roman" w:eastAsia="Times New Roman" w:hAnsi="Times New Roman" w:cs="Times New Roman"/>
          <w:sz w:val="24"/>
          <w:szCs w:val="24"/>
        </w:rPr>
        <w:lastRenderedPageBreak/>
        <w:t>sérique - HDL). L'hyperlipidémie induit d'abord une infiltration graisseuse et finalement une dystrophie hépatique graisseuse.</w:t>
      </w:r>
    </w:p>
    <w:p w14:paraId="56342FA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L'hypoglycémie a des effets métaboliques au niveau des cellules. Parmi les effets métaboliques plastiques de l'hypoglycémie, on peut décrire le déficit en ribozo-6-phosphate (la source de ribose est le glucose), la diminution du niveau d'ATP dans les cellules. Le processus de synthèse des protéoglycanes est également perturbé.</w:t>
      </w:r>
    </w:p>
    <w:p w14:paraId="2B1637F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Mécanismes de formation des corps cétoniques en cas d'</w:t>
      </w:r>
      <w:r>
        <w:rPr>
          <w:rFonts w:ascii="Times New Roman" w:eastAsia="Times New Roman" w:hAnsi="Times New Roman" w:cs="Times New Roman"/>
          <w:sz w:val="24"/>
          <w:szCs w:val="24"/>
        </w:rPr>
        <w:t xml:space="preserve">hypoglycémie </w:t>
      </w:r>
    </w:p>
    <w:p w14:paraId="0E6D23E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L'hypoglycémie perturbe directement le métabolisme énergétique des cellules consommatrices de glucose. L'inhibition de la dérivation du pentozo-phosphate entraîne une diminution des niveaux de NADH et de NADPH, qui représentent les principaux donneurs de protons dans les processus de réduction. Une manifestation du déficit en protons est l'incapacité à resynthétiser les acides gras à partir de l'acétate avec une accumulation excessive d'</w:t>
      </w:r>
      <w:r>
        <w:rPr>
          <w:rFonts w:ascii="Times New Roman" w:eastAsia="Times New Roman" w:hAnsi="Times New Roman" w:cs="Times New Roman"/>
          <w:i/>
          <w:sz w:val="24"/>
          <w:szCs w:val="24"/>
        </w:rPr>
        <w:t>acétyl-KoA</w:t>
      </w:r>
      <w:r>
        <w:rPr>
          <w:rFonts w:ascii="Times New Roman" w:eastAsia="Times New Roman" w:hAnsi="Times New Roman" w:cs="Times New Roman"/>
          <w:sz w:val="24"/>
          <w:szCs w:val="24"/>
        </w:rPr>
        <w:t xml:space="preserve">, qui finira par se condenser avec la formation de </w:t>
      </w:r>
      <w:r>
        <w:rPr>
          <w:rFonts w:ascii="Times New Roman" w:eastAsia="Times New Roman" w:hAnsi="Times New Roman" w:cs="Times New Roman"/>
          <w:i/>
          <w:sz w:val="24"/>
          <w:szCs w:val="24"/>
        </w:rPr>
        <w:t xml:space="preserve">corps cétoniques </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cétogenèse.</w:t>
      </w:r>
      <w:r>
        <w:rPr>
          <w:rFonts w:ascii="Times New Roman" w:eastAsia="Times New Roman" w:hAnsi="Times New Roman" w:cs="Times New Roman"/>
          <w:sz w:val="24"/>
          <w:szCs w:val="24"/>
        </w:rPr>
        <w:t xml:space="preserve"> Le déficit en oxaloacétate (synthétisé par décarboxylation de l'acide pyruvique formé lors de la glycolyse) rend impossible l'implication de l'acétyl-KoA dans le cycle de Krebs. Ceci, ainsi que la production continue d'acétate dans les processus de glycolyse et la bêta-oxydation des acides gras dans le foie, conduit à l'accumulation de quantités excessives d'acétyl-KoA qui, dans ces conditions de déficit en glucose, ne peut pas être oxydé dans le cycle de Krebs, ni utilisé dans la resynthèse des acides gras, se trouvant ainsi dans une "impasse biochimique". Dans ces conditions, l'acétyl-KoA est condensé avec formation de corps cétoniques - </w:t>
      </w:r>
      <w:r>
        <w:rPr>
          <w:rFonts w:ascii="Times New Roman" w:eastAsia="Times New Roman" w:hAnsi="Times New Roman" w:cs="Times New Roman"/>
          <w:i/>
          <w:sz w:val="24"/>
          <w:szCs w:val="24"/>
        </w:rPr>
        <w:t xml:space="preserve">acide bêta-hydroxybutyrique, acétoacétate </w:t>
      </w:r>
      <w:r>
        <w:rPr>
          <w:rFonts w:ascii="Times New Roman" w:eastAsia="Times New Roman" w:hAnsi="Times New Roman" w:cs="Times New Roman"/>
          <w:sz w:val="24"/>
          <w:szCs w:val="24"/>
        </w:rPr>
        <w:t xml:space="preserve">et </w:t>
      </w:r>
      <w:r>
        <w:rPr>
          <w:rFonts w:ascii="Times New Roman" w:eastAsia="Times New Roman" w:hAnsi="Times New Roman" w:cs="Times New Roman"/>
          <w:i/>
          <w:sz w:val="24"/>
          <w:szCs w:val="24"/>
        </w:rPr>
        <w:t>acétone</w:t>
      </w:r>
      <w:r>
        <w:rPr>
          <w:rFonts w:ascii="Times New Roman" w:eastAsia="Times New Roman" w:hAnsi="Times New Roman" w:cs="Times New Roman"/>
          <w:sz w:val="24"/>
          <w:szCs w:val="24"/>
        </w:rPr>
        <w:t>. La cétogenèse se manifeste par une cétonémie et une cétonurie, une acidose métabolique.</w:t>
      </w:r>
    </w:p>
    <w:p w14:paraId="0C07C28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conséquences métaboliques de l'hypoglycémie sont donc la glycogénolyse avec épuisement des réserves de glycogène dans le foie, la lipolyse, la protéolyse, la gluconéogenèse et la cétogenèse.</w:t>
      </w:r>
    </w:p>
    <w:p w14:paraId="20BE1B1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L'impact de l'hypoglycémie sur les organes est différent. Les organes les plus sensibles à l'hypoglycémie sont : le cerveau, les globules rouges, les muscles squelettiques. </w:t>
      </w:r>
    </w:p>
    <w:p w14:paraId="38232D9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w:t>
      </w:r>
      <w:r>
        <w:rPr>
          <w:rFonts w:ascii="Times New Roman" w:eastAsia="Times New Roman" w:hAnsi="Times New Roman" w:cs="Times New Roman"/>
          <w:i/>
          <w:sz w:val="24"/>
          <w:szCs w:val="24"/>
        </w:rPr>
        <w:t xml:space="preserve">métabolisme des glucides dans le cerveau </w:t>
      </w:r>
      <w:r>
        <w:rPr>
          <w:rFonts w:ascii="Times New Roman" w:eastAsia="Times New Roman" w:hAnsi="Times New Roman" w:cs="Times New Roman"/>
          <w:sz w:val="24"/>
          <w:szCs w:val="24"/>
        </w:rPr>
        <w:t>joue un rôle vital pour ce tissu, dont il est la principale source d'énergie. L'absorption du glucose par le cerveau est similaire à ce processus dans les muscles, et l'hexokinase avec un Km = 10</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xml:space="preserve"> M assure la rétention du glucose dans les cellules. Le niveau critique d'hypoglycémie pour le cerveau est de 2,7 mmol/l ou 0,05% (3,3 mmol/l ou 0,06% chez les hommes et 2,2 mmol/l ou 0,04% chez les femmes) - en dessous de cette concentration, les cellules nerveuses ne sont pas capables d'absorber le glucose du sang, tous les processus d'énergogénèse sont inhibés, le niveau intracellulaire d'ATP diminue, tout ceci interrompant les fonctions de la membrane cellulaire qui maintiennent le gradient électrochimique. La modification fonctionnelle des neurones se manifeste par une diminution, puis une inhibition totale du potentiel de la membrane de repos, une dépolarisation de la cellule et une activité du neurone - inhibée par la dépolarisation. Les symptômes cliniques sont une inhibition partielle du système nerveux central (palpitations, tremblements, faiblesse, apathie, anxiété, somnolence, confusion mentale), et finalement une inhibition totale (</w:t>
      </w:r>
      <w:r>
        <w:rPr>
          <w:rFonts w:ascii="Times New Roman" w:eastAsia="Times New Roman" w:hAnsi="Times New Roman" w:cs="Times New Roman"/>
          <w:i/>
          <w:sz w:val="24"/>
          <w:szCs w:val="24"/>
        </w:rPr>
        <w:t xml:space="preserve">coma hypoglycémique </w:t>
      </w:r>
      <w:r>
        <w:rPr>
          <w:rFonts w:ascii="Times New Roman" w:eastAsia="Times New Roman" w:hAnsi="Times New Roman" w:cs="Times New Roman"/>
          <w:sz w:val="24"/>
          <w:szCs w:val="24"/>
        </w:rPr>
        <w:t>- perte de conscience, inhibition des réflexes et mort en quelques minutes). Le traitement pathogène consiste à administrer des glucides exogènes par voie orale ou parentérale. Parallèlement à l'énergogenèse, les glucides assurent, au niveau du cerveau, la synthèse de certains neuromédiateurs, acides aminés, lipides et acides nucléaires. Bien que dépendant du glucose comme source énergétique, en cas d'inanition chronique, le cerveau peut utiliser de petites quantités d'autres substances énergétiques - corps cétoniques, glutamate, aspartate. Ainsi, les conséquences directes de l'hypoglycémie sur le cerveau sont des lésions cellulaires hypoénergétiques pouvant conduire à la nécrose.</w:t>
      </w:r>
    </w:p>
    <w:p w14:paraId="3898853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 </w:t>
      </w:r>
      <w:r>
        <w:rPr>
          <w:rFonts w:ascii="Times New Roman" w:eastAsia="Times New Roman" w:hAnsi="Times New Roman" w:cs="Times New Roman"/>
          <w:i/>
          <w:sz w:val="24"/>
          <w:szCs w:val="24"/>
        </w:rPr>
        <w:t xml:space="preserve">métabolisme des glucides dans les globules rouges </w:t>
      </w:r>
      <w:r>
        <w:rPr>
          <w:rFonts w:ascii="Times New Roman" w:eastAsia="Times New Roman" w:hAnsi="Times New Roman" w:cs="Times New Roman"/>
          <w:sz w:val="24"/>
          <w:szCs w:val="24"/>
        </w:rPr>
        <w:t xml:space="preserve">est déterminé par l'absence d'organites cellulaires, notamment de mitochondries et de réactions du cycle de Krebs ainsi que de réactions de la chaîne respiratoire. L'énergogenèse dans les érythrocytes est exclusivement anaérobie. Le glucose pénètre dans les globules rouges par diffusion facilitée et est soumis à la glycolyse. Le </w:t>
      </w:r>
      <w:r>
        <w:rPr>
          <w:rFonts w:ascii="Times New Roman" w:eastAsia="Times New Roman" w:hAnsi="Times New Roman" w:cs="Times New Roman"/>
          <w:i/>
          <w:sz w:val="24"/>
          <w:szCs w:val="24"/>
        </w:rPr>
        <w:t xml:space="preserve">2,3-diphosphoglycérate (2,3-DPG) </w:t>
      </w:r>
      <w:r>
        <w:rPr>
          <w:rFonts w:ascii="Times New Roman" w:eastAsia="Times New Roman" w:hAnsi="Times New Roman" w:cs="Times New Roman"/>
          <w:sz w:val="24"/>
          <w:szCs w:val="24"/>
        </w:rPr>
        <w:t>est un produit collatéral de la glycolyse qui est synthétisé en grandes quantités dans les érythrocytes et qui a de multiples fonctions. Il a une fonction de tampon et de réserve d'énergie en cas de manque de créatine-phosphate et de glycogène.  En outre, le 2,3-DPG diminue l'affinité de l'hémoglobine pour l'O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ce qui facilite l'apport d'oxygène aux tissus. </w:t>
      </w:r>
    </w:p>
    <w:p w14:paraId="4E3C8CB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w:t>
      </w:r>
      <w:r>
        <w:rPr>
          <w:rFonts w:ascii="Times New Roman" w:eastAsia="Times New Roman" w:hAnsi="Times New Roman" w:cs="Times New Roman"/>
          <w:i/>
          <w:sz w:val="24"/>
          <w:szCs w:val="24"/>
        </w:rPr>
        <w:t xml:space="preserve">métabolisme des glucides dans les muscles </w:t>
      </w:r>
      <w:r>
        <w:rPr>
          <w:rFonts w:ascii="Times New Roman" w:eastAsia="Times New Roman" w:hAnsi="Times New Roman" w:cs="Times New Roman"/>
          <w:sz w:val="24"/>
          <w:szCs w:val="24"/>
        </w:rPr>
        <w:t>est entièrement orienté vers la satisfaction des besoins propres. Le glucose pénètre dans la cellule exclusivement par diffusion facilitée par l'insuline. L'hexokinase des miocytes a un Km beaucoup plus faible que celui des hépatocytes.  Au repos, le muscle accumule de grandes quantités de glycogène, qui se décomposent lors de la contraction du myocyte par les voies oxydative et glycolytique. La glycogénogenèse dans les myocytes est la seule réaction métabolique anaérobie ; les enzymes de la gluconéogenèse font défaut dans les cellules musculaires. La glycolyse est le processus de dégradation du glucose en acide pyruvique, qui est finalement transformé en acétyl-KoA avec la participation de 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En cas de manque d'O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il y a une glycolyse anaérobie qui se termine par la synthèse d'un produit métabolique intermédiaire - le </w:t>
      </w:r>
      <w:r>
        <w:rPr>
          <w:rFonts w:ascii="Times New Roman" w:eastAsia="Times New Roman" w:hAnsi="Times New Roman" w:cs="Times New Roman"/>
          <w:i/>
          <w:sz w:val="24"/>
          <w:szCs w:val="24"/>
        </w:rPr>
        <w:t>lactate</w:t>
      </w:r>
      <w:r>
        <w:rPr>
          <w:rFonts w:ascii="Times New Roman" w:eastAsia="Times New Roman" w:hAnsi="Times New Roman" w:cs="Times New Roman"/>
          <w:sz w:val="24"/>
          <w:szCs w:val="24"/>
        </w:rPr>
        <w:t>. Le lactate, synthétisé à partir de l'acide pyruvique, est libéré dans le sang et peut être métabolisé dans le foie et transformé en hydrates de carbone. Dans les muscles striés, l'activité des enzymes glycolytiques et mitochondriales est très élevée. Presque tout le pyruvate est oxydé en acétyl-KoA, ce phénomène empêchant l'accumulation de lactate dans les muscles.</w:t>
      </w:r>
    </w:p>
    <w:p w14:paraId="03F01A1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Maladies de stockage du glycogène.</w:t>
      </w:r>
      <w:r>
        <w:rPr>
          <w:rFonts w:ascii="Times New Roman" w:eastAsia="Times New Roman" w:hAnsi="Times New Roman" w:cs="Times New Roman"/>
          <w:sz w:val="24"/>
          <w:szCs w:val="24"/>
        </w:rPr>
        <w:t xml:space="preserve"> Le glucose est stocké dans les muscles et le foie sous forme de glycogène. Sa décomposition fournit du glucose qui est utilisé localement ou atteint d'autres organes. Si la dégradation du glycogène est bloquée, il en résulte une surcharge en glycogène et une hypoglycémie. Ce phénomène est causé par des déficiences enzymatiques (Fig.2).</w:t>
      </w:r>
    </w:p>
    <w:p w14:paraId="2D2669C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en distingue plusieurs types : type Ia (</w:t>
      </w:r>
      <w:r>
        <w:rPr>
          <w:rFonts w:ascii="Times New Roman" w:eastAsia="Times New Roman" w:hAnsi="Times New Roman" w:cs="Times New Roman"/>
          <w:i/>
          <w:sz w:val="24"/>
          <w:szCs w:val="24"/>
        </w:rPr>
        <w:t xml:space="preserve">von Gierke ; </w:t>
      </w:r>
      <w:r>
        <w:rPr>
          <w:rFonts w:ascii="Times New Roman" w:eastAsia="Times New Roman" w:hAnsi="Times New Roman" w:cs="Times New Roman"/>
          <w:sz w:val="24"/>
          <w:szCs w:val="24"/>
        </w:rPr>
        <w:t>déficit en glucose-6-phosphatase) ; type Ib (déficit en glucose-6-phosphate translocase microsomale) ; type II (</w:t>
      </w:r>
      <w:r>
        <w:rPr>
          <w:rFonts w:ascii="Times New Roman" w:eastAsia="Times New Roman" w:hAnsi="Times New Roman" w:cs="Times New Roman"/>
          <w:i/>
          <w:sz w:val="24"/>
          <w:szCs w:val="24"/>
        </w:rPr>
        <w:t xml:space="preserve">Pompe </w:t>
      </w:r>
      <w:r>
        <w:rPr>
          <w:rFonts w:ascii="Times New Roman" w:eastAsia="Times New Roman" w:hAnsi="Times New Roman" w:cs="Times New Roman"/>
          <w:sz w:val="24"/>
          <w:szCs w:val="24"/>
        </w:rPr>
        <w:t>; déficit en "-glucosidase" lysosomale) ; type III (</w:t>
      </w:r>
      <w:r>
        <w:rPr>
          <w:rFonts w:ascii="Times New Roman" w:eastAsia="Times New Roman" w:hAnsi="Times New Roman" w:cs="Times New Roman"/>
          <w:i/>
          <w:sz w:val="24"/>
          <w:szCs w:val="24"/>
        </w:rPr>
        <w:t xml:space="preserve">Forbes, Cori </w:t>
      </w:r>
      <w:r>
        <w:rPr>
          <w:rFonts w:ascii="Times New Roman" w:eastAsia="Times New Roman" w:hAnsi="Times New Roman" w:cs="Times New Roman"/>
          <w:sz w:val="24"/>
          <w:szCs w:val="24"/>
        </w:rPr>
        <w:t>; déficit enzymatique en débranchement, le type le plus courant) ; type V (</w:t>
      </w:r>
      <w:r>
        <w:rPr>
          <w:rFonts w:ascii="Times New Roman" w:eastAsia="Times New Roman" w:hAnsi="Times New Roman" w:cs="Times New Roman"/>
          <w:i/>
          <w:sz w:val="24"/>
          <w:szCs w:val="24"/>
        </w:rPr>
        <w:t xml:space="preserve">McArdle ; </w:t>
      </w:r>
      <w:r>
        <w:rPr>
          <w:rFonts w:ascii="Times New Roman" w:eastAsia="Times New Roman" w:hAnsi="Times New Roman" w:cs="Times New Roman"/>
          <w:sz w:val="24"/>
          <w:szCs w:val="24"/>
        </w:rPr>
        <w:t>déficit en phosphorylase musculaire) ; type VI (</w:t>
      </w:r>
      <w:r>
        <w:rPr>
          <w:rFonts w:ascii="Times New Roman" w:eastAsia="Times New Roman" w:hAnsi="Times New Roman" w:cs="Times New Roman"/>
          <w:i/>
          <w:sz w:val="24"/>
          <w:szCs w:val="24"/>
        </w:rPr>
        <w:t xml:space="preserve">Hers </w:t>
      </w:r>
      <w:r>
        <w:rPr>
          <w:rFonts w:ascii="Times New Roman" w:eastAsia="Times New Roman" w:hAnsi="Times New Roman" w:cs="Times New Roman"/>
          <w:sz w:val="24"/>
          <w:szCs w:val="24"/>
        </w:rPr>
        <w:t>; déficit en phosphorylase hépatique) ; et type VIII (</w:t>
      </w:r>
      <w:r>
        <w:rPr>
          <w:rFonts w:ascii="Times New Roman" w:eastAsia="Times New Roman" w:hAnsi="Times New Roman" w:cs="Times New Roman"/>
          <w:i/>
          <w:sz w:val="24"/>
          <w:szCs w:val="24"/>
        </w:rPr>
        <w:t xml:space="preserve">Huijing </w:t>
      </w:r>
      <w:r>
        <w:rPr>
          <w:rFonts w:ascii="Times New Roman" w:eastAsia="Times New Roman" w:hAnsi="Times New Roman" w:cs="Times New Roman"/>
          <w:sz w:val="24"/>
          <w:szCs w:val="24"/>
        </w:rPr>
        <w:t xml:space="preserve">; déficit en phosphorylase b kinase hépatique). Un déficit (très rare) de la synthèse du glycogène (type IV ; </w:t>
      </w:r>
      <w:r>
        <w:rPr>
          <w:rFonts w:ascii="Times New Roman" w:eastAsia="Times New Roman" w:hAnsi="Times New Roman" w:cs="Times New Roman"/>
          <w:i/>
          <w:sz w:val="24"/>
          <w:szCs w:val="24"/>
        </w:rPr>
        <w:t xml:space="preserve">Andersen ; </w:t>
      </w:r>
      <w:r>
        <w:rPr>
          <w:rFonts w:ascii="Times New Roman" w:eastAsia="Times New Roman" w:hAnsi="Times New Roman" w:cs="Times New Roman"/>
          <w:sz w:val="24"/>
          <w:szCs w:val="24"/>
        </w:rPr>
        <w:t>déficit en enzyme de branchement) entraîne une glycogénose parce qu'un type anormal de glycogène est stocké dans le cerveau, le cœur, les muscles et le foie. Dans le type VII (</w:t>
      </w:r>
      <w:r>
        <w:rPr>
          <w:rFonts w:ascii="Times New Roman" w:eastAsia="Times New Roman" w:hAnsi="Times New Roman" w:cs="Times New Roman"/>
          <w:i/>
          <w:sz w:val="24"/>
          <w:szCs w:val="24"/>
        </w:rPr>
        <w:t xml:space="preserve">Tauri </w:t>
      </w:r>
      <w:r>
        <w:rPr>
          <w:rFonts w:ascii="Times New Roman" w:eastAsia="Times New Roman" w:hAnsi="Times New Roman" w:cs="Times New Roman"/>
          <w:sz w:val="24"/>
          <w:szCs w:val="24"/>
        </w:rPr>
        <w:t>; déficit en phosphofructokinase musculaire), en revanche, le glucose ne peut pas être utilisé pour fournir de l'énergie aux muscles.</w:t>
      </w:r>
    </w:p>
    <w:p w14:paraId="35B4EDA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fonction des effets primaires des déficiences enzymatiques, on peut simplifier la classification en divisant les maladies de stockage du glycogène en </w:t>
      </w:r>
      <w:r>
        <w:rPr>
          <w:rFonts w:ascii="Times New Roman" w:eastAsia="Times New Roman" w:hAnsi="Times New Roman" w:cs="Times New Roman"/>
          <w:i/>
          <w:sz w:val="24"/>
          <w:szCs w:val="24"/>
        </w:rPr>
        <w:t xml:space="preserve">types hépatiques </w:t>
      </w:r>
      <w:r>
        <w:rPr>
          <w:rFonts w:ascii="Times New Roman" w:eastAsia="Times New Roman" w:hAnsi="Times New Roman" w:cs="Times New Roman"/>
          <w:sz w:val="24"/>
          <w:szCs w:val="24"/>
        </w:rPr>
        <w:t xml:space="preserve">(I, III, VI, VIII), </w:t>
      </w:r>
      <w:r>
        <w:rPr>
          <w:rFonts w:ascii="Times New Roman" w:eastAsia="Times New Roman" w:hAnsi="Times New Roman" w:cs="Times New Roman"/>
          <w:i/>
          <w:sz w:val="24"/>
          <w:szCs w:val="24"/>
        </w:rPr>
        <w:t xml:space="preserve">types musculaires </w:t>
      </w:r>
      <w:r>
        <w:rPr>
          <w:rFonts w:ascii="Times New Roman" w:eastAsia="Times New Roman" w:hAnsi="Times New Roman" w:cs="Times New Roman"/>
          <w:sz w:val="24"/>
          <w:szCs w:val="24"/>
        </w:rPr>
        <w:t xml:space="preserve">(V, VII), et </w:t>
      </w:r>
      <w:r>
        <w:rPr>
          <w:rFonts w:ascii="Times New Roman" w:eastAsia="Times New Roman" w:hAnsi="Times New Roman" w:cs="Times New Roman"/>
          <w:i/>
          <w:sz w:val="24"/>
          <w:szCs w:val="24"/>
        </w:rPr>
        <w:t xml:space="preserve">autres types </w:t>
      </w:r>
      <w:r>
        <w:rPr>
          <w:rFonts w:ascii="Times New Roman" w:eastAsia="Times New Roman" w:hAnsi="Times New Roman" w:cs="Times New Roman"/>
          <w:sz w:val="24"/>
          <w:szCs w:val="24"/>
        </w:rPr>
        <w:t xml:space="preserve">(II, IV). Dans les types hépatiques, </w:t>
      </w:r>
      <w:r>
        <w:rPr>
          <w:rFonts w:ascii="Times New Roman" w:eastAsia="Times New Roman" w:hAnsi="Times New Roman" w:cs="Times New Roman"/>
          <w:i/>
          <w:sz w:val="24"/>
          <w:szCs w:val="24"/>
        </w:rPr>
        <w:t xml:space="preserve">l'hépatomégalie </w:t>
      </w:r>
      <w:r>
        <w:rPr>
          <w:rFonts w:ascii="Times New Roman" w:eastAsia="Times New Roman" w:hAnsi="Times New Roman" w:cs="Times New Roman"/>
          <w:sz w:val="24"/>
          <w:szCs w:val="24"/>
        </w:rPr>
        <w:t>(due à un dépôt excessif de glycogène) et l'</w:t>
      </w:r>
      <w:r>
        <w:rPr>
          <w:rFonts w:ascii="Times New Roman" w:eastAsia="Times New Roman" w:hAnsi="Times New Roman" w:cs="Times New Roman"/>
          <w:i/>
          <w:sz w:val="24"/>
          <w:szCs w:val="24"/>
        </w:rPr>
        <w:t xml:space="preserve">hypoglycémie </w:t>
      </w:r>
      <w:r>
        <w:rPr>
          <w:rFonts w:ascii="Times New Roman" w:eastAsia="Times New Roman" w:hAnsi="Times New Roman" w:cs="Times New Roman"/>
          <w:sz w:val="24"/>
          <w:szCs w:val="24"/>
        </w:rPr>
        <w:t xml:space="preserve">sont les principales caractéristiques, tandis que dans les types musculaires, il s'agit essentiellement d'un déficit énergétique. Le travail physique n'augmente pas le lactate plasmatique et entraîne une fatigue rapide, des crampes et des douleurs musculaires ainsi qu'une </w:t>
      </w:r>
      <w:r>
        <w:rPr>
          <w:rFonts w:ascii="Times New Roman" w:eastAsia="Times New Roman" w:hAnsi="Times New Roman" w:cs="Times New Roman"/>
          <w:i/>
          <w:sz w:val="24"/>
          <w:szCs w:val="24"/>
        </w:rPr>
        <w:t xml:space="preserve">myoglobinurie </w:t>
      </w:r>
      <w:r>
        <w:rPr>
          <w:rFonts w:ascii="Times New Roman" w:eastAsia="Times New Roman" w:hAnsi="Times New Roman" w:cs="Times New Roman"/>
          <w:sz w:val="24"/>
          <w:szCs w:val="24"/>
        </w:rPr>
        <w:t>(dans le type V), qui peut provoquer une insuffisance rénale. Les effets du type II (cardiomégalie, faiblesse des muscles respiratoires) et du type IV (insuffisance hépatique) aboutissent souvent à la mort dans l'enfance.</w:t>
      </w:r>
    </w:p>
    <w:p w14:paraId="790F05BF" w14:textId="77777777" w:rsidR="00D24541" w:rsidRDefault="00D24541" w:rsidP="00D24541">
      <w:pPr>
        <w:spacing w:after="200"/>
        <w:ind w:firstLine="708"/>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7C760FE" wp14:editId="06E0AA92">
            <wp:extent cx="5125735" cy="2441189"/>
            <wp:effectExtent l="9525" t="9525" r="9525" b="9525"/>
            <wp:docPr id="73" name="image83.jpg" descr="D:\Новая папка\glycigen storage disease.jpg"/>
            <wp:cNvGraphicFramePr/>
            <a:graphic xmlns:a="http://schemas.openxmlformats.org/drawingml/2006/main">
              <a:graphicData uri="http://schemas.openxmlformats.org/drawingml/2006/picture">
                <pic:pic xmlns:pic="http://schemas.openxmlformats.org/drawingml/2006/picture">
                  <pic:nvPicPr>
                    <pic:cNvPr id="0" name="image83.jpg" descr="D:\Новая папка\glycigen storage disease.jpg"/>
                    <pic:cNvPicPr preferRelativeResize="0"/>
                  </pic:nvPicPr>
                  <pic:blipFill>
                    <a:blip r:embed="rId8"/>
                    <a:srcRect/>
                    <a:stretch>
                      <a:fillRect/>
                    </a:stretch>
                  </pic:blipFill>
                  <pic:spPr>
                    <a:xfrm>
                      <a:off x="0" y="0"/>
                      <a:ext cx="5125735" cy="2441189"/>
                    </a:xfrm>
                    <a:prstGeom prst="rect">
                      <a:avLst/>
                    </a:prstGeom>
                    <a:ln w="9525">
                      <a:solidFill>
                        <a:srgbClr val="000000"/>
                      </a:solidFill>
                      <a:prstDash val="solid"/>
                    </a:ln>
                  </pic:spPr>
                </pic:pic>
              </a:graphicData>
            </a:graphic>
          </wp:inline>
        </w:drawing>
      </w:r>
    </w:p>
    <w:p w14:paraId="505C72E9" w14:textId="77777777" w:rsidR="00D24541" w:rsidRDefault="00D24541" w:rsidP="00D24541">
      <w:pPr>
        <w:spacing w:after="20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2. </w:t>
      </w:r>
      <w:r>
        <w:rPr>
          <w:rFonts w:ascii="Times New Roman" w:eastAsia="Times New Roman" w:hAnsi="Times New Roman" w:cs="Times New Roman"/>
          <w:sz w:val="24"/>
          <w:szCs w:val="24"/>
        </w:rPr>
        <w:t>Maladie de</w:t>
      </w:r>
      <w:r>
        <w:rPr>
          <w:rFonts w:ascii="Times New Roman" w:eastAsia="Times New Roman" w:hAnsi="Times New Roman" w:cs="Times New Roman"/>
          <w:b/>
          <w:sz w:val="24"/>
          <w:szCs w:val="24"/>
        </w:rPr>
        <w:t xml:space="preserve"> stockage du glycogène </w:t>
      </w:r>
    </w:p>
    <w:p w14:paraId="05B13EAC" w14:textId="77777777" w:rsidR="00D24541" w:rsidRDefault="00D24541" w:rsidP="00D24541">
      <w:pPr>
        <w:spacing w:after="20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(D'après S. Silbernagl et F. Lang ; Color Atlas of Pathophysiology).</w:t>
      </w:r>
    </w:p>
    <w:p w14:paraId="7BBE00C8" w14:textId="77777777" w:rsidR="00D24541" w:rsidRDefault="00D24541" w:rsidP="00D24541">
      <w:pPr>
        <w:spacing w:after="200"/>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Hyperglycémie</w:t>
      </w:r>
    </w:p>
    <w:p w14:paraId="4330F09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hyperglycémie </w:t>
      </w:r>
      <w:r>
        <w:rPr>
          <w:rFonts w:ascii="Times New Roman" w:eastAsia="Times New Roman" w:hAnsi="Times New Roman" w:cs="Times New Roman"/>
          <w:sz w:val="24"/>
          <w:szCs w:val="24"/>
        </w:rPr>
        <w:t>représente une augmentation de la glycémie supérieure à 6,6 mmol/l ou supérieure à 0,12 %. Le dépassement de ce niveau maximal, contrairement au niveau critique inférieur, ne représente pas une situation dangereuse comme l'hypoglycémie. La signification biologique d'une hyperglycémie exagérée est liée au fait que la capacité des cellules épithéliales des tubes rénaux à réabsorber le glucose de l'urine primaire et à le renvoyer dans le flux sanguin est limitée par une concentration de glucose dans le sang d'environ 10 mmol/l ou 0,18 % (seuil rénal de glucose).  Ainsi, la quantité de glucose supérieure à ce niveau reste dans l'urine définitive (</w:t>
      </w:r>
      <w:r>
        <w:rPr>
          <w:rFonts w:ascii="Times New Roman" w:eastAsia="Times New Roman" w:hAnsi="Times New Roman" w:cs="Times New Roman"/>
          <w:i/>
          <w:sz w:val="24"/>
          <w:szCs w:val="24"/>
        </w:rPr>
        <w:t>glucosurie</w:t>
      </w:r>
      <w:r>
        <w:rPr>
          <w:rFonts w:ascii="Times New Roman" w:eastAsia="Times New Roman" w:hAnsi="Times New Roman" w:cs="Times New Roman"/>
          <w:sz w:val="24"/>
          <w:szCs w:val="24"/>
        </w:rPr>
        <w:t xml:space="preserve">) et est éliminée de l'organisme. L'hyperglycémie ne peut conduire à un </w:t>
      </w:r>
      <w:r>
        <w:rPr>
          <w:rFonts w:ascii="Times New Roman" w:eastAsia="Times New Roman" w:hAnsi="Times New Roman" w:cs="Times New Roman"/>
          <w:i/>
          <w:sz w:val="24"/>
          <w:szCs w:val="24"/>
        </w:rPr>
        <w:t xml:space="preserve">coma hyperglycémique non cétodiabétique </w:t>
      </w:r>
      <w:r>
        <w:rPr>
          <w:rFonts w:ascii="Times New Roman" w:eastAsia="Times New Roman" w:hAnsi="Times New Roman" w:cs="Times New Roman"/>
          <w:sz w:val="24"/>
          <w:szCs w:val="24"/>
        </w:rPr>
        <w:t>que dans les cas où le taux de glycémie est exagérément élevé (environ 500 mg%).</w:t>
      </w:r>
    </w:p>
    <w:p w14:paraId="478BAFE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mécanisme pathogène de l'hyperglycémie est principalement le déséquilibre entre l'ingestion et le métabolisme des hydrates de carbone, c'est-à-dire l'augmentation de l'absorption du glucose ou la diminution de sa consommation.  </w:t>
      </w:r>
    </w:p>
    <w:p w14:paraId="54E7BD8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L'augmentation de la concentration de glucose dans le sang provient de plusieurs sources. Une absorption alimentaire accrue induit une </w:t>
      </w:r>
      <w:r>
        <w:rPr>
          <w:rFonts w:ascii="Times New Roman" w:eastAsia="Times New Roman" w:hAnsi="Times New Roman" w:cs="Times New Roman"/>
          <w:i/>
          <w:sz w:val="24"/>
          <w:szCs w:val="24"/>
        </w:rPr>
        <w:t>hyperglycémie alimentaire</w:t>
      </w:r>
      <w:r>
        <w:rPr>
          <w:rFonts w:ascii="Times New Roman" w:eastAsia="Times New Roman" w:hAnsi="Times New Roman" w:cs="Times New Roman"/>
          <w:sz w:val="24"/>
          <w:szCs w:val="24"/>
        </w:rPr>
        <w:t xml:space="preserve">. Une mobilisation intense du glucose à partir des réserves endogènes de glycogène induit une </w:t>
      </w:r>
      <w:r>
        <w:rPr>
          <w:rFonts w:ascii="Times New Roman" w:eastAsia="Times New Roman" w:hAnsi="Times New Roman" w:cs="Times New Roman"/>
          <w:i/>
          <w:sz w:val="24"/>
          <w:szCs w:val="24"/>
        </w:rPr>
        <w:t xml:space="preserve">hyperglycémie de transport </w:t>
      </w:r>
      <w:r>
        <w:rPr>
          <w:rFonts w:ascii="Times New Roman" w:eastAsia="Times New Roman" w:hAnsi="Times New Roman" w:cs="Times New Roman"/>
          <w:sz w:val="24"/>
          <w:szCs w:val="24"/>
        </w:rPr>
        <w:t xml:space="preserve">; cela peut se produire en cas de surexcitation du système végétatif sympathique (stress psychoémotionnel, douleur, etc.), d'hypersécrétion de catécholamines à partir de la moelle des glandes surrénales (phéochromocytome), et d'hypersécrétion de glucagon. L'hypersécrétion de glucocorticoïdes (hypercorticosolisme primaire et secondaire) entraîne une hyperglycémie par augmentation du catabolisme protéique et intensification de la gluconéogenèse. L'hyperglycémie peut également être une conséquence de l'incapacité à effectuer la glycogénogenèse et l'utilisation du glucose en cas de carence en insuline - </w:t>
      </w:r>
      <w:r>
        <w:rPr>
          <w:rFonts w:ascii="Times New Roman" w:eastAsia="Times New Roman" w:hAnsi="Times New Roman" w:cs="Times New Roman"/>
          <w:i/>
          <w:sz w:val="24"/>
          <w:szCs w:val="24"/>
        </w:rPr>
        <w:t>diabète sucré</w:t>
      </w:r>
      <w:r>
        <w:rPr>
          <w:rFonts w:ascii="Times New Roman" w:eastAsia="Times New Roman" w:hAnsi="Times New Roman" w:cs="Times New Roman"/>
          <w:sz w:val="24"/>
          <w:szCs w:val="24"/>
        </w:rPr>
        <w:t>. L'hyperglycémie en cas de stress chronique et de syndrome de Cushing peut être considérée comme un effet de l'hypercorticosolisme. Parmi les autres facteurs d'hyperglycémie qui intensifient la glycogénolyse, on peut citer l'adrénaline, la somatotropine, la thyroxine, qui activent l'insulinase avec un effet hypo-insulinique.</w:t>
      </w:r>
    </w:p>
    <w:p w14:paraId="595DEB7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 diminution de la consommation de glucose par les cellules ne peut être à l'origine d'une hypoglycémie, car le métabolisme du glucose dans les cellules nerveuses - principal consommateur de glucose sanguin - est </w:t>
      </w:r>
      <w:r>
        <w:rPr>
          <w:rFonts w:ascii="Times New Roman" w:eastAsia="Times New Roman" w:hAnsi="Times New Roman" w:cs="Times New Roman"/>
          <w:sz w:val="24"/>
          <w:szCs w:val="24"/>
        </w:rPr>
        <w:lastRenderedPageBreak/>
        <w:t>maintenu à un niveau constant, même à l'état de repos, ce qui est essentiel pour le maintien du gradient électrochimique (potentiel de repos). La plupart des cas d'hyperglycémie sont liés à l'incapacité des cellules à utiliser le glucose en l'absence d'insuline (</w:t>
      </w:r>
      <w:r>
        <w:rPr>
          <w:rFonts w:ascii="Times New Roman" w:eastAsia="Times New Roman" w:hAnsi="Times New Roman" w:cs="Times New Roman"/>
          <w:i/>
          <w:sz w:val="24"/>
          <w:szCs w:val="24"/>
        </w:rPr>
        <w:t>diabète sucré)</w:t>
      </w:r>
      <w:r>
        <w:rPr>
          <w:rFonts w:ascii="Times New Roman" w:eastAsia="Times New Roman" w:hAnsi="Times New Roman" w:cs="Times New Roman"/>
          <w:sz w:val="24"/>
          <w:szCs w:val="24"/>
        </w:rPr>
        <w:t>. En l'absence d'insuline, les processus suivants sont impossibles : transport transmembranaire du glucose, glycogénogenèse, lipogenèse. En l'absence d'insuline dans le diabète sucré, les glucocorticoïdes ont une fonction gluconéogénétique incontrôlée, ce qui favorise l'hyperglycémie.</w:t>
      </w:r>
    </w:p>
    <w:p w14:paraId="031FC3ED" w14:textId="77777777" w:rsidR="00D24541" w:rsidRDefault="00D24541" w:rsidP="00D24541">
      <w:pPr>
        <w:spacing w:after="200"/>
        <w:ind w:firstLine="708"/>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Réactions compensatoires en cas d'hyperglycémie</w:t>
      </w:r>
    </w:p>
    <w:p w14:paraId="74AC0056"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réactions compensatoires en cas d'hyperglycémie consistent en un stockage accru du glucose, sa conversion en d'autres substances, une utilisation et une élimination accrues de l'excédent de glucose par l'organisme, le tout étant réalisé par une glycogénogenèse, une lipogénèse, une glycolyse et une glucosurie accrues.</w:t>
      </w:r>
    </w:p>
    <w:p w14:paraId="0595C7A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glycogénogenèse est une réaction anabolique de synthèse du glycogène à partir du glucose et, comme toute autre réaction anabolique, elle nécessite de l'énergie. La première étape de la glycogénogenèse est la phosphorilation du glucose en glucose-6-phosphate avec la participation de la glucokinase, de l'ATP et de l'insuline. Le glucose-6-phosphate est ensuite converti en glucose-1-phosphate, puis en glucose-uridindiphosphate. Le glucose-uridindiphosphate représente un composé biochimique universel, une forme co-enzymatique du glucose, très réactive, qui interagit avec d'autres molécules de glucose pour former des polymères ou interagir avec des protéines et des lipides pour former respectivement des glycoprotéines ou des glycolipides. Le glucose-uridindinphosphate, avec la participation du glycogène-synthèse, se lie à la molécule initiale de glycogène, formant une chaîne de centaines de milliers de monomères. Une autre enzyme ramifie la molécule de glycogène, liant les chaînes entre elles. Ainsi, la molécule ramifiée de glycogène est synthétisée. L'augmentation de la sécrétion d'insuline a également un autre effet remarquable qui est représenté par l'augmentation du transport transmembranaire du glucose du sang vers les cellules adipeuses, où il est finalement transformé en lipides, qui sont stockés dans les cellules du tissu adipeux (lipogenèse).</w:t>
      </w:r>
    </w:p>
    <w:p w14:paraId="5E19052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 autre réaction compensatoire en cas d'hyperglycémie est représentée par la réduction de la glycogénolyse et de la gluconéogenèse par l'inhibition de la sécrétion des catécholamines, du glucagon et des glucocorticoïdes. L'hyposécrétion et la diminution du taux de catécholamines dans le sang inhibent la glycogénolyse et l'hyposécrétion de glucocorticoïdes diminue la gluconéogenèse. Une autre réaction imposée ayant une caractéristique homéostatique est représentée par la </w:t>
      </w:r>
      <w:r>
        <w:rPr>
          <w:rFonts w:ascii="Times New Roman" w:eastAsia="Times New Roman" w:hAnsi="Times New Roman" w:cs="Times New Roman"/>
          <w:i/>
          <w:sz w:val="24"/>
          <w:szCs w:val="24"/>
        </w:rPr>
        <w:t>glucosurie</w:t>
      </w:r>
      <w:r>
        <w:rPr>
          <w:rFonts w:ascii="Times New Roman" w:eastAsia="Times New Roman" w:hAnsi="Times New Roman" w:cs="Times New Roman"/>
          <w:sz w:val="24"/>
          <w:szCs w:val="24"/>
        </w:rPr>
        <w:t>. Bien qu'elle soit défavorable à l'organisme parce qu'elle augmente l'élimination de certaines substances nutritives, la glucosurie est une réaction émergente pour le rétablissement de la normoglycémie et des paramètres physicochimiques du sang (suppression de l'hyperosmolarité du sang), ce qui peut maintenir des processus pathologiques (intumescence des cellules). Ces réactions ont tendance à ramener l'hyperglycémie à un niveau normal.</w:t>
      </w:r>
    </w:p>
    <w:p w14:paraId="00E72E1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effets d'une hyperglycémie persistante sont donc les suivants : hypersécrétion d'insuline, glycogénogenèse accrue avec stockage du glucose sous forme de glycogène, lipogenèse avec dépôt accru de tissu adipeux - obésité et infiltration graisseuse des organes et des tissus.</w:t>
      </w:r>
    </w:p>
    <w:p w14:paraId="3FE0E7ED" w14:textId="77777777" w:rsidR="00D24541" w:rsidRDefault="00D24541" w:rsidP="00D24541">
      <w:pPr>
        <w:spacing w:after="200"/>
        <w:ind w:firstLine="708"/>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Hypercétonémie et acidocétose diabétique</w:t>
      </w:r>
    </w:p>
    <w:p w14:paraId="322E3D5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corps cétoniques </w:t>
      </w:r>
      <w:r>
        <w:rPr>
          <w:rFonts w:ascii="Times New Roman" w:eastAsia="Times New Roman" w:hAnsi="Times New Roman" w:cs="Times New Roman"/>
          <w:sz w:val="24"/>
          <w:szCs w:val="24"/>
        </w:rPr>
        <w:t xml:space="preserve">(acétone, acide bêta-oxibutyrique et acétyl-acétate) sont des produits métaboliques courants synthétisés en petites quantités lors de la condensation de l'acétate (l'acétate est synthétisé à partir d'hydrates de carbone, d'acides gras et d'acides aminés). Les corps cétoniques sont utilisés dans le cycle de Krebs comme matière énergétique pour le cœur et les muscles squelettiques ou sont convertis en acides gras dans le </w:t>
      </w:r>
      <w:r>
        <w:rPr>
          <w:rFonts w:ascii="Times New Roman" w:eastAsia="Times New Roman" w:hAnsi="Times New Roman" w:cs="Times New Roman"/>
          <w:sz w:val="24"/>
          <w:szCs w:val="24"/>
        </w:rPr>
        <w:lastRenderedPageBreak/>
        <w:t xml:space="preserve">foie. L'hypercétonémie représente une concentration accrue de corps cétoniques dans le sang en raison de l'intensification de la cétogenèse et est fréquemment rencontrée dans le diabète sucré. L'hypercétonémie est le principal pivot métabolique du syndrome appelé </w:t>
      </w:r>
      <w:r>
        <w:rPr>
          <w:rFonts w:ascii="Times New Roman" w:eastAsia="Times New Roman" w:hAnsi="Times New Roman" w:cs="Times New Roman"/>
          <w:i/>
          <w:sz w:val="24"/>
          <w:szCs w:val="24"/>
        </w:rPr>
        <w:t>acidocétose diabétique</w:t>
      </w:r>
      <w:r>
        <w:rPr>
          <w:rFonts w:ascii="Times New Roman" w:eastAsia="Times New Roman" w:hAnsi="Times New Roman" w:cs="Times New Roman"/>
          <w:sz w:val="24"/>
          <w:szCs w:val="24"/>
        </w:rPr>
        <w:t xml:space="preserve">. </w:t>
      </w:r>
    </w:p>
    <w:p w14:paraId="32F3705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L'acidocétose diabétique est une complication fréquente du diabète sucré. Selon certaines données statistiques, l'acidocétose diabétique survient dans 13 cas sur 1000 chez les enfants diabétiques. La pathogénie de l'acidocétose diabétique est déterminée par la carence en insuline et l'augmentation du rapport glucagon/insuline en même temps que l'hypersécrétion de glucocorticoïdes. La diminution de la sécrétion d'insuline, principale boucle pathogène du diabète sucré, rend impossible la glycogénogenèse et la lipogénèse, intensifie la sécrétion de glucagon qui stimule la glycogénolyse et la lipolyse. L'effet final est une hyperglycémie accompagnée d'une hyperlipidémie de transport.  L'hyperglycémie est le résultat de l'inhibition de la glycolyse et de la réduction de la clairance sanguine des glucides, et l'hyperlipidémie est le résultat de l'inhibition de la lipogenèse. Parallèlement, la diminution de la consommation périphérique de glucose s'accompagne d'une augmentation de la sécrétion de glucocorticoïdes, qui stimule la protéolyse et la néoglucogenèse, amplifiant ainsi l'hyperglycémie. L'effet résumé de la carence en insuline avec l'hypersécrétion de glucagon et de glucocorticoïdes est une réduction des réserves de glycogène dans le foie, ce qui augmente également la lipolyse et amplifie l'hyperlipidémie. L'hyperlipidémie entraîne une intensification de l'oxydation des acides gras et une production excessive d'</w:t>
      </w:r>
      <w:r>
        <w:rPr>
          <w:rFonts w:ascii="Times New Roman" w:eastAsia="Times New Roman" w:hAnsi="Times New Roman" w:cs="Times New Roman"/>
          <w:i/>
          <w:sz w:val="24"/>
          <w:szCs w:val="24"/>
        </w:rPr>
        <w:t>acétyl-KoA</w:t>
      </w:r>
      <w:r>
        <w:rPr>
          <w:rFonts w:ascii="Times New Roman" w:eastAsia="Times New Roman" w:hAnsi="Times New Roman" w:cs="Times New Roman"/>
          <w:sz w:val="24"/>
          <w:szCs w:val="24"/>
        </w:rPr>
        <w:t xml:space="preserve">. En cas de déficit de l'oxydation des hydrates de carbone, il y a un déficit d'oxalacétate, nécessaire à l'introduction de l'acétyl-KoA dans le cycle de Krebs, ainsi qu'un déficit de NADPH, nécessaire à la resynthèse des acides gras à partir de l'acétate. Dans ces conditions, il y a une production accrue de corps cétoniques à partir d'un excès d'acétyl-KoA inutilisé - </w:t>
      </w:r>
      <w:r>
        <w:rPr>
          <w:rFonts w:ascii="Times New Roman" w:eastAsia="Times New Roman" w:hAnsi="Times New Roman" w:cs="Times New Roman"/>
          <w:i/>
          <w:sz w:val="24"/>
          <w:szCs w:val="24"/>
        </w:rPr>
        <w:t>cétogenèse</w:t>
      </w:r>
      <w:r>
        <w:rPr>
          <w:rFonts w:ascii="Times New Roman" w:eastAsia="Times New Roman" w:hAnsi="Times New Roman" w:cs="Times New Roman"/>
          <w:sz w:val="24"/>
          <w:szCs w:val="24"/>
        </w:rPr>
        <w:t>.  En d'autres termes, la cétogenèse est le résultat d'une production accrue d'acétyl-KoA dans le foie combinée à une diminution de la clairance périphérique de ces substances (manque d'oxalacétate et de NADPH). Il convient de mentionner que la cétogenèse n'est pas seulement déclenchée par une carence en insuline dans le diabète sucré, mais qu'elle peut se développer dans de nombreux autres états : infections, infarctus du myocarde, accidents vasculaires cérébraux, traumatismes, grossesse, stress émotionnel, pancréatite.</w:t>
      </w:r>
    </w:p>
    <w:p w14:paraId="402AB07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résumé, les manifestations essentielles de l'acidocétose sont l'hyperglycémie, l'hyperosmolarité sanguine, la diurèse osmotique avec hypovolémie polycitémique, la carence en électrolytes, l'hypercétonémie avec acidose métabolique. Les symptômes cliniques de l'acidocétose sont la polyurie, les nausées, les vomissements, la respiration de Kussmaul avec odeur d'acétone, la tachycardie, l'acidose métabolique avec diminution du bicarbonate en dessous de 10 meq/l.  Parmi les autres symptômes cliniques, on peut citer l'hyponatrémie inférieure à 120 meq/l, l'hyperkaliémie, l'hyperglycémie supérieure à 600 mg% (0,6%), l'hyperlipidémie, l'augmentation de la concentration d'acides gras dans le sang, l'hypercétonémie, la cétonurie, l'augmentation du taux d'amylase, l'hyperosmie interstitielle, la déshydratation cellulaire, l'alcalose intracellulaire avec acidose extracellulaire, la diminution du volume de sang circulant - hypovolémie, l'hypotension artérielle et le collapsus vasculaire.</w:t>
      </w:r>
    </w:p>
    <w:p w14:paraId="40C0E22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traitement pathogénique de l'acidocétose consiste à restituer l'insuline, à corriger le volume sanguin circulatoire, à corriger l'acidose et le niveau des électrolytes sanguins. </w:t>
      </w:r>
    </w:p>
    <w:p w14:paraId="42AFF37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L'acidocétose alcoolique.</w:t>
      </w:r>
      <w:r>
        <w:rPr>
          <w:rFonts w:ascii="Times New Roman" w:eastAsia="Times New Roman" w:hAnsi="Times New Roman" w:cs="Times New Roman"/>
          <w:sz w:val="24"/>
          <w:szCs w:val="24"/>
        </w:rPr>
        <w:t xml:space="preserve"> La pathogenèse de l'acidocétose alcoolique repose sur l'inanition associée à une diminution du volume de sang circulant et à l'ingestion d'alcool, qui stimulent la cétogenèse en diminuant les réserves de glycogène dans le foie, en intensifiant la lipolyse, en synthétisant les corps cétoniques et en réduisant la clairance des corps cétoniques dans les tissus périphériques. L'alcool en lui-même peut induire la cétogenèse dans le foie. L'hypovolémie est le résultat d'une diminution de la consommation d'aliments et de liquides, de vomissements, d'une inhibition de la sécrétion de vasopressine (un effet direct de l'alcool) et d'une polyurie.  </w:t>
      </w:r>
      <w:r>
        <w:rPr>
          <w:rFonts w:ascii="Times New Roman" w:eastAsia="Times New Roman" w:hAnsi="Times New Roman" w:cs="Times New Roman"/>
          <w:sz w:val="24"/>
          <w:szCs w:val="24"/>
        </w:rPr>
        <w:lastRenderedPageBreak/>
        <w:t xml:space="preserve">L'excitation du système nerveux végétatif entraîne une augmentation de la sécrétion de cortisol en même temps qu'une inhibition de la sécrétion d'insuline, ce qui amplifie la lipolyse avec hyperlipidémie. L'intensification de l'oxydation des acides gras en acétyl-KoA en cas de déficit en oxalacétate et en NADPH conduit à la cétogenèse et à l'hypercétonémie.  </w:t>
      </w:r>
    </w:p>
    <w:p w14:paraId="731BF026"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w:t>
      </w:r>
      <w:r>
        <w:rPr>
          <w:rFonts w:ascii="Times New Roman" w:eastAsia="Times New Roman" w:hAnsi="Times New Roman" w:cs="Times New Roman"/>
          <w:i/>
          <w:sz w:val="24"/>
          <w:szCs w:val="24"/>
        </w:rPr>
        <w:t xml:space="preserve">coma hyperosmolaire et hyperglycémique non acidosique </w:t>
      </w:r>
      <w:r>
        <w:rPr>
          <w:rFonts w:ascii="Times New Roman" w:eastAsia="Times New Roman" w:hAnsi="Times New Roman" w:cs="Times New Roman"/>
          <w:sz w:val="24"/>
          <w:szCs w:val="24"/>
        </w:rPr>
        <w:t>se rencontre en cas d'hyperglycémie exagérée (350-3000 mg% ; 0,35-3%), lorsque l'hyperosmolarité plasmatique est supérieure à 460 Mosm/l, mais ne s'accompagne pas de cétonémie. Cette variété de coma représente environ 10 à 30 % de tous les comas diabétiques. Le tableau clinique est caractérisé par une polyurie, une polydipsie, une diurèse nocturne, des nausées, une anorexie, des vomissements, une léthargie, une déshydratation allant jusqu'à 25 % de l'eau totale. Le traitement pathogénique consiste à corriger l'hyperglycémie et à rééquilibrer l'équilibre hydrique et électrolytique.</w:t>
      </w:r>
    </w:p>
    <w:p w14:paraId="11D8CC6E" w14:textId="77777777" w:rsidR="00D24541" w:rsidRDefault="00D24541" w:rsidP="00D24541">
      <w:pPr>
        <w:spacing w:after="200"/>
        <w:ind w:firstLine="708"/>
        <w:jc w:val="both"/>
        <w:rPr>
          <w:rFonts w:ascii="Times New Roman" w:eastAsia="Times New Roman" w:hAnsi="Times New Roman" w:cs="Times New Roman"/>
          <w:b/>
          <w:sz w:val="24"/>
          <w:szCs w:val="24"/>
        </w:rPr>
      </w:pPr>
    </w:p>
    <w:p w14:paraId="45275DB8"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Galactosémie </w:t>
      </w:r>
    </w:p>
    <w:p w14:paraId="124339C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galactosémie est un trouble autosomique récessif du métabolisme du galactose (Fig.3). Normalement, le lactose, principal hydrate de carbone du lait de mammifère, est scindé en glucose et galactose dans les microvillosités intestinales par la lactase. Le galactose est ensuite converti en glucose en trois étapes. Deux variantes de la galactosémie ont été identifiées. Dans la variante la plus courante, il y a une absence totale de </w:t>
      </w:r>
      <w:r>
        <w:rPr>
          <w:rFonts w:ascii="Times New Roman" w:eastAsia="Times New Roman" w:hAnsi="Times New Roman" w:cs="Times New Roman"/>
          <w:i/>
          <w:sz w:val="24"/>
          <w:szCs w:val="24"/>
        </w:rPr>
        <w:t>galactose-1-phosphate uridyltransférase</w:t>
      </w:r>
      <w:r>
        <w:rPr>
          <w:rFonts w:ascii="Times New Roman" w:eastAsia="Times New Roman" w:hAnsi="Times New Roman" w:cs="Times New Roman"/>
          <w:sz w:val="24"/>
          <w:szCs w:val="24"/>
        </w:rPr>
        <w:t xml:space="preserve">. La variante rare est due à un déficit en </w:t>
      </w:r>
      <w:r>
        <w:rPr>
          <w:rFonts w:ascii="Times New Roman" w:eastAsia="Times New Roman" w:hAnsi="Times New Roman" w:cs="Times New Roman"/>
          <w:i/>
          <w:sz w:val="24"/>
          <w:szCs w:val="24"/>
        </w:rPr>
        <w:t>galactokinase</w:t>
      </w:r>
      <w:r>
        <w:rPr>
          <w:rFonts w:ascii="Times New Roman" w:eastAsia="Times New Roman" w:hAnsi="Times New Roman" w:cs="Times New Roman"/>
          <w:sz w:val="24"/>
          <w:szCs w:val="24"/>
        </w:rPr>
        <w:t xml:space="preserve">. Comme le déficit en galactokinase entraîne une forme plus légère de la maladie, non associée à un retard mental, il n'est pas pris en compte dans cette discussion. En raison de l'absence de la transférase, le galactose-1-phosphate s'accumule en de nombreux endroits, notamment dans le foie, la rate, le cristallin, les reins, le muscle cardiaque, le cortex cérébral et les érythrocytes. D'autres voies métaboliques sont activées, conduisant à la production de </w:t>
      </w:r>
      <w:r>
        <w:rPr>
          <w:rFonts w:ascii="Times New Roman" w:eastAsia="Times New Roman" w:hAnsi="Times New Roman" w:cs="Times New Roman"/>
          <w:i/>
          <w:sz w:val="24"/>
          <w:szCs w:val="24"/>
        </w:rPr>
        <w:t xml:space="preserve">galactitol </w:t>
      </w:r>
      <w:r>
        <w:rPr>
          <w:rFonts w:ascii="Times New Roman" w:eastAsia="Times New Roman" w:hAnsi="Times New Roman" w:cs="Times New Roman"/>
          <w:sz w:val="24"/>
          <w:szCs w:val="24"/>
        </w:rPr>
        <w:t xml:space="preserve">(un métabolite polyolique du galactose) et de </w:t>
      </w:r>
      <w:r>
        <w:rPr>
          <w:rFonts w:ascii="Times New Roman" w:eastAsia="Times New Roman" w:hAnsi="Times New Roman" w:cs="Times New Roman"/>
          <w:i/>
          <w:sz w:val="24"/>
          <w:szCs w:val="24"/>
        </w:rPr>
        <w:t>galactonate</w:t>
      </w:r>
      <w:r>
        <w:rPr>
          <w:rFonts w:ascii="Times New Roman" w:eastAsia="Times New Roman" w:hAnsi="Times New Roman" w:cs="Times New Roman"/>
          <w:sz w:val="24"/>
          <w:szCs w:val="24"/>
        </w:rPr>
        <w:t xml:space="preserve">, un sous-produit oxydé de l'excès de galactose, qui s'accumulent également dans les tissus. La toxicité à long terme de la galactosémie a été diversement attribuée à ces intermédiaires métaboliques. </w:t>
      </w:r>
    </w:p>
    <w:p w14:paraId="380D6522" w14:textId="77777777" w:rsidR="00D24541" w:rsidRDefault="00D24541" w:rsidP="00D24541">
      <w:pPr>
        <w:spacing w:after="200"/>
        <w:ind w:firstLine="708"/>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14:anchorId="73FC62A6" wp14:editId="346182AD">
            <wp:extent cx="5480980" cy="3684517"/>
            <wp:effectExtent l="9525" t="9525" r="9525" b="9525"/>
            <wp:docPr id="14" name="image2.jpg" descr="D:\Новая папка\galactozemia.jpg"/>
            <wp:cNvGraphicFramePr/>
            <a:graphic xmlns:a="http://schemas.openxmlformats.org/drawingml/2006/main">
              <a:graphicData uri="http://schemas.openxmlformats.org/drawingml/2006/picture">
                <pic:pic xmlns:pic="http://schemas.openxmlformats.org/drawingml/2006/picture">
                  <pic:nvPicPr>
                    <pic:cNvPr id="0" name="image2.jpg" descr="D:\Новая папка\galactozemia.jpg"/>
                    <pic:cNvPicPr preferRelativeResize="0"/>
                  </pic:nvPicPr>
                  <pic:blipFill>
                    <a:blip r:embed="rId9"/>
                    <a:srcRect/>
                    <a:stretch>
                      <a:fillRect/>
                    </a:stretch>
                  </pic:blipFill>
                  <pic:spPr>
                    <a:xfrm>
                      <a:off x="0" y="0"/>
                      <a:ext cx="5480980" cy="3684517"/>
                    </a:xfrm>
                    <a:prstGeom prst="rect">
                      <a:avLst/>
                    </a:prstGeom>
                    <a:ln w="9525">
                      <a:solidFill>
                        <a:srgbClr val="000000"/>
                      </a:solidFill>
                      <a:prstDash val="solid"/>
                    </a:ln>
                  </pic:spPr>
                </pic:pic>
              </a:graphicData>
            </a:graphic>
          </wp:inline>
        </w:drawing>
      </w:r>
    </w:p>
    <w:p w14:paraId="74EDA642" w14:textId="77777777" w:rsidR="00D24541" w:rsidRDefault="00D24541" w:rsidP="00D24541">
      <w:pPr>
        <w:spacing w:after="200"/>
        <w:ind w:firstLine="70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3. Galactosémie </w:t>
      </w:r>
      <w:r>
        <w:rPr>
          <w:rFonts w:ascii="Times New Roman" w:eastAsia="Times New Roman" w:hAnsi="Times New Roman" w:cs="Times New Roman"/>
          <w:sz w:val="24"/>
          <w:szCs w:val="24"/>
        </w:rPr>
        <w:t>(d'après S. Silbernagl et F. Lang ; Color Atlas of Pathophysiology)</w:t>
      </w:r>
    </w:p>
    <w:p w14:paraId="5C103B2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tableau clinique est variable, reflétant probablement l'hétérogénéité des mutations du gène de la galactose-1-phosphate uridyl transférase conduisant à la galactosémie. Le foie, les yeux et le cerveau sont les plus touchés. L'hépatomégalie précoce est due en grande partie à des changements graisseux, mais avec le temps, une cicatrisation généralisée ressemblant beaucoup à la cirrhose due à l'abus d'alcool peut se produire. Une opacification du cristallin (</w:t>
      </w:r>
      <w:r>
        <w:rPr>
          <w:rFonts w:ascii="Times New Roman" w:eastAsia="Times New Roman" w:hAnsi="Times New Roman" w:cs="Times New Roman"/>
          <w:i/>
          <w:sz w:val="24"/>
          <w:szCs w:val="24"/>
        </w:rPr>
        <w:t>cataracte</w:t>
      </w:r>
      <w:r>
        <w:rPr>
          <w:rFonts w:ascii="Times New Roman" w:eastAsia="Times New Roman" w:hAnsi="Times New Roman" w:cs="Times New Roman"/>
          <w:sz w:val="24"/>
          <w:szCs w:val="24"/>
        </w:rPr>
        <w:t>) se développe, probablement parce que le cristallin absorbe l'eau et gonfle à mesure que le galactitol, produit par des voies métaboliques alternatives, s'accumule et augmente sa tonicité. Des altérations non spécifiques apparaissent dans le système nerveux central, notamment une perte de cellules nerveuses, une gliose et un œdème, en particulier dans les noyaux dentés du cervelet et les noyaux olivaires de la moelle. Des changements similaires peuvent se produire dans le cortex cérébral et la substance blanche.</w:t>
      </w:r>
    </w:p>
    <w:p w14:paraId="75BAD0F0"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Conséquences de la dyshoméostasie glucidique</w:t>
      </w:r>
    </w:p>
    <w:p w14:paraId="1AEE6BB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conséquences éventuelles de l'hypoglycémie sont des lésions cellulaires hypoénergétiques, principalement des lésions neuronales, dues à l'incapacité des neurones à utiliser d'autres substrats énergétiques que le glucose. Les processus pathologiques déclenchés par l'hypoglycémie se manifestent par : des lésions cellulaires, la dystrophie, la nécrose, l'atrophie, la sclérose. L'augmentation du stockage des lipides dans le tissu adipeux conduit à l'obésité avec tous les phénomènes pathologiques associés.</w:t>
      </w:r>
    </w:p>
    <w:p w14:paraId="47A828D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L'action pathogène de l'hyperglycémie est déterminée par l'hyperosmolarité sanguine et interstitielle, qui induit un œdème et une intumescence cellulaire avec cytolyse osmotique. </w:t>
      </w:r>
    </w:p>
    <w:p w14:paraId="1934CC7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galactosémie provoque des lésions cellulaires par imbibition des organites avec du galactose inutilisé, ce qui entraîne un œdème, un gonflement des cellules, des lésions cellulaires hyperosmotiques, une nécrose, une atrophie, une sclérose. </w:t>
      </w:r>
    </w:p>
    <w:p w14:paraId="1995398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L'hypercétonémie se manifeste par un coma cétoacidosique, dont le mécanisme pathogène est l'acidose métabolique et l'hyperosmolarité des liquides corporels conditionnés par l'hyperglycémie.  L'hyperlipidémie est à l'origine d'une infiltration et d'une dystrophie graisseuse du foie, du myocarde et des reins, qui aboutissent finalement à la nécrose, à l'atrophie et à la sclérose. </w:t>
      </w:r>
    </w:p>
    <w:p w14:paraId="0CCC4497" w14:textId="77777777" w:rsidR="00D24541" w:rsidRDefault="00D24541" w:rsidP="00D24541">
      <w:pPr>
        <w:spacing w:after="200"/>
        <w:ind w:firstLine="708"/>
        <w:jc w:val="center"/>
        <w:rPr>
          <w:rFonts w:ascii="Times New Roman" w:eastAsia="Times New Roman" w:hAnsi="Times New Roman" w:cs="Times New Roman"/>
          <w:b/>
          <w:sz w:val="28"/>
          <w:szCs w:val="28"/>
        </w:rPr>
      </w:pPr>
    </w:p>
    <w:p w14:paraId="136FFAD9" w14:textId="77777777" w:rsidR="00D24541" w:rsidRDefault="00D24541" w:rsidP="00D24541">
      <w:pPr>
        <w:spacing w:after="200"/>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Déséquilibre du métabolisme des protéines</w:t>
      </w:r>
    </w:p>
    <w:p w14:paraId="49F70DD4" w14:textId="77777777" w:rsidR="00D24541" w:rsidRDefault="00D24541" w:rsidP="00D24541">
      <w:pPr>
        <w:spacing w:after="200"/>
        <w:ind w:firstLine="708"/>
        <w:jc w:val="both"/>
        <w:rPr>
          <w:rFonts w:ascii="StoneSerif" w:eastAsia="StoneSerif" w:hAnsi="StoneSerif" w:cs="StoneSerif"/>
          <w:color w:val="292526"/>
          <w:sz w:val="18"/>
          <w:szCs w:val="18"/>
        </w:rPr>
      </w:pPr>
      <w:r>
        <w:rPr>
          <w:rFonts w:ascii="Times New Roman" w:eastAsia="Times New Roman" w:hAnsi="Times New Roman" w:cs="Times New Roman"/>
          <w:b/>
          <w:noProof/>
          <w:sz w:val="28"/>
          <w:szCs w:val="28"/>
        </w:rPr>
        <w:drawing>
          <wp:inline distT="0" distB="0" distL="0" distR="0" wp14:anchorId="1BDEF0CE" wp14:editId="52C8CD07">
            <wp:extent cx="536575" cy="300645"/>
            <wp:effectExtent l="0" t="0" r="0" b="0"/>
            <wp:docPr id="9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
                    <a:srcRect/>
                    <a:stretch>
                      <a:fillRect/>
                    </a:stretch>
                  </pic:blipFill>
                  <pic:spPr>
                    <a:xfrm>
                      <a:off x="0" y="0"/>
                      <a:ext cx="536575" cy="300645"/>
                    </a:xfrm>
                    <a:prstGeom prst="rect">
                      <a:avLst/>
                    </a:prstGeom>
                    <a:ln/>
                  </pic:spPr>
                </pic:pic>
              </a:graphicData>
            </a:graphic>
          </wp:inline>
        </w:drawing>
      </w:r>
      <w:r>
        <w:rPr>
          <w:rFonts w:ascii="StoneSerif" w:eastAsia="StoneSerif" w:hAnsi="StoneSerif" w:cs="StoneSerif"/>
          <w:color w:val="292526"/>
          <w:sz w:val="18"/>
          <w:szCs w:val="18"/>
        </w:rPr>
        <w:t xml:space="preserve"> Les protéines sont nécessaires à la croissance et à l'entretien des tissus corporels, à la formation d'enzymes et d'anticorps, à l'équilibre des fluides et des électrolytes et au transport des nutriments. Environ trois quarts des solides du corps sont des protéines. Les protéines sont essentielles à la formation de toutes les structures corporelles, y compris les gènes, les enzymes, les structures contractiles des muscles, la matrice des os et l'hémoglobine des globules rouges. Les acides aminés sont les éléments constitutifs des protéines. </w:t>
      </w:r>
      <w:r>
        <w:rPr>
          <w:rFonts w:ascii="Times New Roman" w:eastAsia="Times New Roman" w:hAnsi="Times New Roman" w:cs="Times New Roman"/>
          <w:sz w:val="18"/>
          <w:szCs w:val="18"/>
        </w:rPr>
        <w:t xml:space="preserve">Les besoins en protéines de l'organisme sont satisfaits par la consommation de protéines animales et végétales. Outre la quantité totale de protéines ingérées, il est très important que les acides aminés entrent dans la composition de ces protéines, ainsi que le rapport entre les acides aminés. Selon la possibilité de transformation réciproque des acides aminés, les acides aminés sont divisés en </w:t>
      </w:r>
      <w:r>
        <w:rPr>
          <w:rFonts w:ascii="Times New Roman" w:eastAsia="Times New Roman" w:hAnsi="Times New Roman" w:cs="Times New Roman"/>
          <w:i/>
          <w:sz w:val="18"/>
          <w:szCs w:val="18"/>
        </w:rPr>
        <w:t xml:space="preserve">acides aminés essentiels </w:t>
      </w:r>
      <w:r>
        <w:rPr>
          <w:rFonts w:ascii="Times New Roman" w:eastAsia="Times New Roman" w:hAnsi="Times New Roman" w:cs="Times New Roman"/>
          <w:sz w:val="18"/>
          <w:szCs w:val="18"/>
        </w:rPr>
        <w:t xml:space="preserve">(acides aminés qui ne peuvent pas être synthétisés dans l'organisme et qui doivent être ingérés avec la nourriture) et en </w:t>
      </w:r>
      <w:r>
        <w:rPr>
          <w:rFonts w:ascii="Times New Roman" w:eastAsia="Times New Roman" w:hAnsi="Times New Roman" w:cs="Times New Roman"/>
          <w:i/>
          <w:sz w:val="18"/>
          <w:szCs w:val="18"/>
        </w:rPr>
        <w:t xml:space="preserve">acides aminés non essentiels </w:t>
      </w:r>
      <w:r>
        <w:rPr>
          <w:rFonts w:ascii="Times New Roman" w:eastAsia="Times New Roman" w:hAnsi="Times New Roman" w:cs="Times New Roman"/>
          <w:sz w:val="18"/>
          <w:szCs w:val="18"/>
        </w:rPr>
        <w:t xml:space="preserve">(acides aminés qui peuvent être obtenus dans l'organisme par transformation d'autres acides aminés). Les acides aminés essentiels sont : l'arginine, l'histidine, l'isoleucine, la leucine, la lysine, la méthionine, la phénylalanine, la thréonine, le tryptophane et la valine. Les acides aminés non essentiels sont : l'alanine, l'aspartate, l'asparagine, la cystéine, le glutamate, l'acide glutaminique, la glycine, la proline, la sérine et la tyrosine. </w:t>
      </w:r>
      <w:r>
        <w:rPr>
          <w:rFonts w:ascii="StoneSerif" w:eastAsia="StoneSerif" w:hAnsi="StoneSerif" w:cs="StoneSerif"/>
          <w:color w:val="292526"/>
          <w:sz w:val="18"/>
          <w:szCs w:val="18"/>
        </w:rPr>
        <w:t>Les aliments qui fournissent ces acides aminés essentiels en quantités adéquates sont le lait, les œufs, la viande, le poisson et la volaille. Les pois et haricots secs, les noix, les graines et les céréales contiennent tous les acides aminés essentiels, mais dans des proportions insuffisantes. Ces protéines doivent être combinées entre elles ou avec des protéines complètes pour répondre aux besoins en acides aminés nécessaires à la synthèse des protéines. Chaque acide aminé possède un groupe acide (COOH) et un groupe amino. Contrairement au glucose et aux acides gras, l'organisme ne dispose que d'une capacité limitée de stockage des acides aminés excédentaires. La plupart des acides aminés stockés sont contenus dans les protéines de l'organisme. Les acides aminés en excès par rapport à ceux nécessaires à la synthèse des protéines sont convertis en acides gras, en cétones ou en glucose et sont stockés ou utilisés comme carburant métabolique. Les acides gras ne pouvant être convertis en glucose, l'organisme doit dégrader les protéines et utiliser les acides aminés pour générer du glucose pendant les périodes où les besoins métaboliques dépassent l'apport alimentaire. Le foie possède les enzymes et les mécanismes nécessaires pour désaminer et convertir les groupes aminés de l'acide aminé en urée. La dégradation des protéines et des acides aminés se produit principalement dans le foie, qui est également le site de la néoglucogenèse.</w:t>
      </w:r>
      <w:r>
        <w:rPr>
          <w:rFonts w:ascii="Times New Roman" w:eastAsia="Times New Roman" w:hAnsi="Times New Roman" w:cs="Times New Roman"/>
          <w:sz w:val="18"/>
          <w:szCs w:val="18"/>
        </w:rPr>
        <w:t xml:space="preserve"> Le rôle principal des protéines dans l'organisme est essentiellement plastique, avec un rôle énergétique limité (seulement 10 % des besoins énergétiques de l'organisme sont fournis par des substances protéiques). L'utilisation des protéines dans leur rôle énergétique dépend de l'apport calorique général du régime alimentaire - une diminution de l'apport calorique entraîne une augmentation de la quantité de protéines de dégradation catabolique pour la libération d'énergie</w:t>
      </w:r>
      <w:r>
        <w:rPr>
          <w:rFonts w:ascii="Times New Roman" w:eastAsia="Times New Roman" w:hAnsi="Times New Roman" w:cs="Times New Roman"/>
          <w:sz w:val="20"/>
          <w:szCs w:val="20"/>
        </w:rPr>
        <w:t>.</w:t>
      </w:r>
    </w:p>
    <w:p w14:paraId="25DA644B" w14:textId="77777777" w:rsidR="00D24541" w:rsidRDefault="00D24541" w:rsidP="00D24541">
      <w:pPr>
        <w:spacing w:after="200"/>
        <w:ind w:firstLine="708"/>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Digestion et absorption des protéines</w:t>
      </w:r>
    </w:p>
    <w:p w14:paraId="464668C3"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La digestion des protéines commence dans l'estomac. Le HCl présent dans l'estomac dénature les protéines et convertit les trois pepsinogènes sécrétés en environ huit </w:t>
      </w:r>
      <w:r>
        <w:rPr>
          <w:rFonts w:ascii="Times New Roman" w:eastAsia="Times New Roman" w:hAnsi="Times New Roman" w:cs="Times New Roman"/>
          <w:i/>
          <w:sz w:val="18"/>
          <w:szCs w:val="18"/>
        </w:rPr>
        <w:t xml:space="preserve">pepsines </w:t>
      </w:r>
      <w:r>
        <w:rPr>
          <w:rFonts w:ascii="Times New Roman" w:eastAsia="Times New Roman" w:hAnsi="Times New Roman" w:cs="Times New Roman"/>
          <w:sz w:val="18"/>
          <w:szCs w:val="18"/>
        </w:rPr>
        <w:t xml:space="preserve">différentes. À un pH de 2 à 5, ces endopeptidases scindent les protéines aux endroits où les molécules de tyrosine ou de phénylalanine sont incorporées dans la chaîne peptidique. Les pepsines deviennent inactives dans l'intestin grêle (pH 7-8). Le suc pancréatique contient également des proenzymes d'autres peptidases qui sont activées dans le duodénum. Les endopeptidases </w:t>
      </w:r>
      <w:r>
        <w:rPr>
          <w:rFonts w:ascii="Times New Roman" w:eastAsia="Times New Roman" w:hAnsi="Times New Roman" w:cs="Times New Roman"/>
          <w:i/>
          <w:sz w:val="18"/>
          <w:szCs w:val="18"/>
        </w:rPr>
        <w:t xml:space="preserve">trypsine, chymotrypsine </w:t>
      </w:r>
      <w:r>
        <w:rPr>
          <w:rFonts w:ascii="Times New Roman" w:eastAsia="Times New Roman" w:hAnsi="Times New Roman" w:cs="Times New Roman"/>
          <w:sz w:val="18"/>
          <w:szCs w:val="18"/>
        </w:rPr>
        <w:t xml:space="preserve">et </w:t>
      </w:r>
      <w:r>
        <w:rPr>
          <w:rFonts w:ascii="Times New Roman" w:eastAsia="Times New Roman" w:hAnsi="Times New Roman" w:cs="Times New Roman"/>
          <w:i/>
          <w:sz w:val="18"/>
          <w:szCs w:val="18"/>
        </w:rPr>
        <w:t xml:space="preserve">élastase </w:t>
      </w:r>
      <w:r>
        <w:rPr>
          <w:rFonts w:ascii="Times New Roman" w:eastAsia="Times New Roman" w:hAnsi="Times New Roman" w:cs="Times New Roman"/>
          <w:sz w:val="18"/>
          <w:szCs w:val="18"/>
        </w:rPr>
        <w:t xml:space="preserve">hydrolysent les molécules de protéines en peptides à chaîne courte. Les </w:t>
      </w:r>
      <w:r>
        <w:rPr>
          <w:rFonts w:ascii="Times New Roman" w:eastAsia="Times New Roman" w:hAnsi="Times New Roman" w:cs="Times New Roman"/>
          <w:i/>
          <w:sz w:val="18"/>
          <w:szCs w:val="18"/>
        </w:rPr>
        <w:t xml:space="preserve">carboxypeptidases A </w:t>
      </w:r>
      <w:r>
        <w:rPr>
          <w:rFonts w:ascii="Times New Roman" w:eastAsia="Times New Roman" w:hAnsi="Times New Roman" w:cs="Times New Roman"/>
          <w:sz w:val="18"/>
          <w:szCs w:val="18"/>
        </w:rPr>
        <w:t xml:space="preserve">et </w:t>
      </w:r>
      <w:r>
        <w:rPr>
          <w:rFonts w:ascii="Times New Roman" w:eastAsia="Times New Roman" w:hAnsi="Times New Roman" w:cs="Times New Roman"/>
          <w:i/>
          <w:sz w:val="18"/>
          <w:szCs w:val="18"/>
        </w:rPr>
        <w:t xml:space="preserve">B </w:t>
      </w:r>
      <w:r>
        <w:rPr>
          <w:rFonts w:ascii="Times New Roman" w:eastAsia="Times New Roman" w:hAnsi="Times New Roman" w:cs="Times New Roman"/>
          <w:sz w:val="18"/>
          <w:szCs w:val="18"/>
        </w:rPr>
        <w:t xml:space="preserve">(du pancréas) ainsi que les </w:t>
      </w:r>
      <w:r>
        <w:rPr>
          <w:rFonts w:ascii="Times New Roman" w:eastAsia="Times New Roman" w:hAnsi="Times New Roman" w:cs="Times New Roman"/>
          <w:i/>
          <w:sz w:val="18"/>
          <w:szCs w:val="18"/>
        </w:rPr>
        <w:t xml:space="preserve">dipeptidases </w:t>
      </w:r>
      <w:r>
        <w:rPr>
          <w:rFonts w:ascii="Times New Roman" w:eastAsia="Times New Roman" w:hAnsi="Times New Roman" w:cs="Times New Roman"/>
          <w:sz w:val="18"/>
          <w:szCs w:val="18"/>
        </w:rPr>
        <w:t xml:space="preserve">et les </w:t>
      </w:r>
      <w:r>
        <w:rPr>
          <w:rFonts w:ascii="Times New Roman" w:eastAsia="Times New Roman" w:hAnsi="Times New Roman" w:cs="Times New Roman"/>
          <w:i/>
          <w:sz w:val="18"/>
          <w:szCs w:val="18"/>
        </w:rPr>
        <w:t xml:space="preserve">aminopeptidases </w:t>
      </w:r>
      <w:r>
        <w:rPr>
          <w:rFonts w:ascii="Times New Roman" w:eastAsia="Times New Roman" w:hAnsi="Times New Roman" w:cs="Times New Roman"/>
          <w:sz w:val="18"/>
          <w:szCs w:val="18"/>
        </w:rPr>
        <w:t xml:space="preserve">(enzymes de la bordure en brosse) agissent sur les protéines situées à l'extrémité de la chaîne peptidique, les décomposant en tripeptides, dipeptides et (la plupart du temps) en acides aminés individuels. Ces produits de clivage sont absorbés dans le duodénum et le jéjunum. Les </w:t>
      </w:r>
      <w:r>
        <w:rPr>
          <w:rFonts w:ascii="Times New Roman" w:eastAsia="Times New Roman" w:hAnsi="Times New Roman" w:cs="Times New Roman"/>
          <w:i/>
          <w:sz w:val="18"/>
          <w:szCs w:val="18"/>
        </w:rPr>
        <w:t xml:space="preserve">acides aminés (AA) </w:t>
      </w:r>
      <w:r>
        <w:rPr>
          <w:rFonts w:ascii="Times New Roman" w:eastAsia="Times New Roman" w:hAnsi="Times New Roman" w:cs="Times New Roman"/>
          <w:sz w:val="18"/>
          <w:szCs w:val="18"/>
        </w:rPr>
        <w:t>sont transportés par un certain nombre de transporteurs spécifiques similaires à ceux que l'on trouve dans les reins. Les acides aminés L neutres (sans charge nette) et anioniques ("acides") sont transportés par des symporteurs Na</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(transport actif secondaire) depuis la lumière intestinale jusqu'aux cellules des muqueuses, d'où ils diffusent passivement dans le sang avec des transporteurs. Les acides aminés L cationiques ("basiques") tels que la L-arginine</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 la L-lysine</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et la L-ornithine</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sont partiellement absorbés dans les entérocytes par des mécanismes indépendants du Na</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 car le potentiel membranaire est une force motrice pour leur absorption. Les acides aminés anioniques comme le L-glutamate et le L-aspartate, qui sont en grande partie décomposés dans les cellules de la muqueuse, ont également leur propre système de transport (dépendant du Na</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et du K</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 Les acides aminés neutres utilisent plusieurs transporteurs différents. Les troubles de l'absorption des AA peuvent être congénitaux et affecter différents groupes d'acides aminés. Ces troubles sont souvent associés à des défauts de réabsorption tubulaire rénale (aminoacidurie rénale, par exemple cystinurie). Les dipeptides et les tripeptides peuvent être absorbés sous forme de molécules intactes par un transporteur sympathique. Le transporteur est entraîné par un gradient de H</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 qui est à son tour généré par la sécrétion de H</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(symport H</w:t>
      </w: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 xml:space="preserve"> -peptide tertiairement actif). Les acides aminés sont généralement absorbés beaucoup plus rapidement sous forme de dipeptides et de tripeptides que sous forme d'acides aminés libres. Une fois entrés dans les cellules, les peptides sont hydrolysés en acides aminés libres.</w:t>
      </w:r>
    </w:p>
    <w:p w14:paraId="162DE0AD" w14:textId="77777777" w:rsidR="00D24541" w:rsidRDefault="00D24541" w:rsidP="00D24541">
      <w:pPr>
        <w:spacing w:after="200"/>
        <w:ind w:firstLine="708"/>
        <w:jc w:val="both"/>
        <w:rPr>
          <w:rFonts w:ascii="Times New Roman" w:eastAsia="Times New Roman" w:hAnsi="Times New Roman" w:cs="Times New Roman"/>
          <w:sz w:val="18"/>
          <w:szCs w:val="18"/>
        </w:rPr>
      </w:pPr>
    </w:p>
    <w:p w14:paraId="79110C8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Outre les lipides et les glucides, qui peuvent se substituer les uns aux autres, l'homéostasie structurelle de l'organisme nécessite un rapport strict entre la consommation et l'élimination des protéines - l'</w:t>
      </w:r>
      <w:r>
        <w:rPr>
          <w:rFonts w:ascii="Times New Roman" w:eastAsia="Times New Roman" w:hAnsi="Times New Roman" w:cs="Times New Roman"/>
          <w:i/>
          <w:sz w:val="24"/>
          <w:szCs w:val="24"/>
        </w:rPr>
        <w:t>équilibre protéique</w:t>
      </w:r>
      <w:r>
        <w:rPr>
          <w:rFonts w:ascii="Times New Roman" w:eastAsia="Times New Roman" w:hAnsi="Times New Roman" w:cs="Times New Roman"/>
          <w:sz w:val="24"/>
          <w:szCs w:val="24"/>
        </w:rPr>
        <w:t xml:space="preserve">. Dans l'organisme, il existe un processus dynamique permanent de désintégration et de resynthèse des protéines à partir de ses propres structures. C'est pourquoi les structures de l'organisme doivent être considérées comme un équilibre dynamique et non comme un état stationnaire. Ainsi, la demi-vie des protéines de l'organisme (période au cours de laquelle se renouvelle ½ de la masse protéique totale) est égale à 3 semaines. Cela signifie que chaque jour, 500 g de protéines provenant des structures de l'organisme sont décomposées et resynthétisées. </w:t>
      </w:r>
    </w:p>
    <w:p w14:paraId="1E1ACCBF" w14:textId="77777777" w:rsidR="00D24541" w:rsidRDefault="00D24541" w:rsidP="00D24541">
      <w:pPr>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 xml:space="preserve">Contrairement aux hydrates de carbone et aux graisses, qui sont composés d'hydrogène, de carbone et d'oxygène, les protéines contiennent 16 % d'azote ; l'excrétion d'azote est donc un indicateur de l'apport en protéines. Si la quantité d'azote absorbée par le biais des protéines est équivalente à l'azote excrété, on dit que la personne est en </w:t>
      </w:r>
      <w:r>
        <w:rPr>
          <w:rFonts w:ascii="Times New Roman" w:eastAsia="Times New Roman" w:hAnsi="Times New Roman" w:cs="Times New Roman"/>
          <w:i/>
          <w:color w:val="292526"/>
          <w:sz w:val="24"/>
          <w:szCs w:val="24"/>
        </w:rPr>
        <w:t>équilibre azoté</w:t>
      </w:r>
      <w:r>
        <w:rPr>
          <w:rFonts w:ascii="Times New Roman" w:eastAsia="Times New Roman" w:hAnsi="Times New Roman" w:cs="Times New Roman"/>
          <w:color w:val="292526"/>
          <w:sz w:val="24"/>
          <w:szCs w:val="24"/>
        </w:rPr>
        <w:t xml:space="preserve">. Le </w:t>
      </w:r>
      <w:r>
        <w:rPr>
          <w:rFonts w:ascii="Times New Roman" w:eastAsia="Times New Roman" w:hAnsi="Times New Roman" w:cs="Times New Roman"/>
          <w:i/>
          <w:color w:val="292526"/>
          <w:sz w:val="24"/>
          <w:szCs w:val="24"/>
        </w:rPr>
        <w:t xml:space="preserve">bilan azoté est positif </w:t>
      </w:r>
      <w:r>
        <w:rPr>
          <w:rFonts w:ascii="Times New Roman" w:eastAsia="Times New Roman" w:hAnsi="Times New Roman" w:cs="Times New Roman"/>
          <w:color w:val="292526"/>
          <w:sz w:val="24"/>
          <w:szCs w:val="24"/>
        </w:rPr>
        <w:t xml:space="preserve">lorsque la quantité d'azote consommée sous forme de protéines est supérieure à la quantité d'azote excrétée. C'est le cas lors de la croissance, de la grossesse ou de la guérison après une opération ou une blessure. Un </w:t>
      </w:r>
      <w:r>
        <w:rPr>
          <w:rFonts w:ascii="Times New Roman" w:eastAsia="Times New Roman" w:hAnsi="Times New Roman" w:cs="Times New Roman"/>
          <w:i/>
          <w:color w:val="292526"/>
          <w:sz w:val="24"/>
          <w:szCs w:val="24"/>
        </w:rPr>
        <w:t xml:space="preserve">bilan azoté négatif </w:t>
      </w:r>
      <w:r>
        <w:rPr>
          <w:rFonts w:ascii="Times New Roman" w:eastAsia="Times New Roman" w:hAnsi="Times New Roman" w:cs="Times New Roman"/>
          <w:color w:val="292526"/>
          <w:sz w:val="24"/>
          <w:szCs w:val="24"/>
        </w:rPr>
        <w:t>se produit souvent en cas de fièvre, de maladie, d'infection, de traumatisme, de maladie chronique ou de brûlure, lorsque la quantité d'azote excrétée est supérieure à celle consommée. Il s'agit d'un état de dégradation des tissus.</w:t>
      </w:r>
    </w:p>
    <w:p w14:paraId="052D814C" w14:textId="77777777" w:rsidR="00D24541" w:rsidRDefault="00D24541" w:rsidP="00D2454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consommation journalière nécessaire de protéines chez les adultes représente 0,7g/kg/24 h, chez les enfants - 2g/kg, tandis que pour les femmes enceintes et les femmes qui allaitent, il y a un surplus de 20 % de protéines par jour. Comme indiqué plus haut, outre la quantité totale de protéines ingérées, leur composition aminoacidique joue également un rôle important, plus précisément la présence d'acides aminés essentiels en quantité suffisante pour la synthèse de ses propres protéines. De ce point de vue, les protéines d'origine animale sont les plus qualitatives, les protéines végétales présentant certaines carences (ainsi, le maïs manque de lysine et de tryptophane, tandis que les haricots manquent de méthionine, mais la combinaison de ces deux produits contient tout le spectre des acides aminés). </w:t>
      </w:r>
      <w:r>
        <w:rPr>
          <w:rFonts w:ascii="Times New Roman" w:eastAsia="Times New Roman" w:hAnsi="Times New Roman" w:cs="Times New Roman"/>
          <w:color w:val="292526"/>
          <w:sz w:val="24"/>
          <w:szCs w:val="24"/>
        </w:rPr>
        <w:t xml:space="preserve">Les régimes pauvres en protéines peuvent entraîner le </w:t>
      </w:r>
      <w:r>
        <w:rPr>
          <w:rFonts w:ascii="Times New Roman" w:eastAsia="Times New Roman" w:hAnsi="Times New Roman" w:cs="Times New Roman"/>
          <w:i/>
          <w:color w:val="292526"/>
          <w:sz w:val="24"/>
          <w:szCs w:val="24"/>
        </w:rPr>
        <w:t>kwashiorkor</w:t>
      </w:r>
      <w:r>
        <w:rPr>
          <w:rFonts w:ascii="Times New Roman" w:eastAsia="Times New Roman" w:hAnsi="Times New Roman" w:cs="Times New Roman"/>
          <w:color w:val="292526"/>
          <w:sz w:val="24"/>
          <w:szCs w:val="24"/>
        </w:rPr>
        <w:t xml:space="preserve">. Si les calories et les protéines sont inadéquates, on parle de </w:t>
      </w:r>
      <w:r>
        <w:rPr>
          <w:rFonts w:ascii="Times New Roman" w:eastAsia="Times New Roman" w:hAnsi="Times New Roman" w:cs="Times New Roman"/>
          <w:i/>
          <w:color w:val="292526"/>
          <w:sz w:val="24"/>
          <w:szCs w:val="24"/>
        </w:rPr>
        <w:t>malnutrition protéino-calorique</w:t>
      </w:r>
      <w:r>
        <w:rPr>
          <w:rFonts w:ascii="Times New Roman" w:eastAsia="Times New Roman" w:hAnsi="Times New Roman" w:cs="Times New Roman"/>
          <w:color w:val="292526"/>
          <w:sz w:val="24"/>
          <w:szCs w:val="24"/>
        </w:rPr>
        <w:t xml:space="preserve">. </w:t>
      </w:r>
    </w:p>
    <w:p w14:paraId="3DC60625" w14:textId="77777777" w:rsidR="00D24541" w:rsidRDefault="00D24541" w:rsidP="00D24541">
      <w:pPr>
        <w:ind w:left="142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Étiologie générale du déséquilibre métabolique des protéines</w:t>
      </w:r>
    </w:p>
    <w:p w14:paraId="70E6827E"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Disponibilité et consommation de protéines     </w:t>
      </w:r>
    </w:p>
    <w:p w14:paraId="56291FC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Une consommation excessive de protéines </w:t>
      </w:r>
      <w:r>
        <w:rPr>
          <w:rFonts w:ascii="Times New Roman" w:eastAsia="Times New Roman" w:hAnsi="Times New Roman" w:cs="Times New Roman"/>
          <w:sz w:val="24"/>
          <w:szCs w:val="24"/>
        </w:rPr>
        <w:t xml:space="preserve">n'entraîne que des effets dyspeptiques tels que : une déficience relative des enzymes digestives avec une maldigestion des protéines. La persistance des protéines dans les matières fécales, qui sont transportées dans le gros intestin, entraîne une croissance abondante de la microflore et une intensification de la putréfaction intestinale. L'intensification de la putréfaction se traduit par la libération de gaz (ammoniac, méthane, hydrogène sulfureux) qui provoquent un météorisme intestinal. La formation de substances non volatiles (phénol, crézol, indol, scatol, putrescine, cadavérine) entraîne une autointoxication gastro-intestinale. L'ensemble des phénomènes causés par une consommation excessive de protéines est appelé </w:t>
      </w:r>
      <w:r>
        <w:rPr>
          <w:rFonts w:ascii="Times New Roman" w:eastAsia="Times New Roman" w:hAnsi="Times New Roman" w:cs="Times New Roman"/>
          <w:i/>
          <w:sz w:val="24"/>
          <w:szCs w:val="24"/>
        </w:rPr>
        <w:t xml:space="preserve">dyspepsie protéique </w:t>
      </w:r>
      <w:r>
        <w:rPr>
          <w:rFonts w:ascii="Times New Roman" w:eastAsia="Times New Roman" w:hAnsi="Times New Roman" w:cs="Times New Roman"/>
          <w:sz w:val="24"/>
          <w:szCs w:val="24"/>
        </w:rPr>
        <w:t xml:space="preserve">ou </w:t>
      </w:r>
      <w:r>
        <w:rPr>
          <w:rFonts w:ascii="Times New Roman" w:eastAsia="Times New Roman" w:hAnsi="Times New Roman" w:cs="Times New Roman"/>
          <w:i/>
          <w:sz w:val="24"/>
          <w:szCs w:val="24"/>
        </w:rPr>
        <w:t>dyspepsie de putréfaction</w:t>
      </w:r>
      <w:r>
        <w:rPr>
          <w:rFonts w:ascii="Times New Roman" w:eastAsia="Times New Roman" w:hAnsi="Times New Roman" w:cs="Times New Roman"/>
          <w:sz w:val="24"/>
          <w:szCs w:val="24"/>
        </w:rPr>
        <w:t xml:space="preserve">. </w:t>
      </w:r>
    </w:p>
    <w:p w14:paraId="02B5B10D"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de la digestion des protéines. Maldigestion.</w:t>
      </w:r>
    </w:p>
    <w:p w14:paraId="0F55EE5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Physiologiquement, la digestion des protéines consiste en une décomposition consécutive de celles-ci lors de leur passage dans le tube digestif et de leur exposition successive à l'action de différentes enzymes digestives (voir ci-dessus). Les causes de la maldigestion peuvent être des maladies gastriques, pancréatiques et intestinales.</w:t>
      </w:r>
    </w:p>
    <w:p w14:paraId="6EA4E59B"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de l'absorption des acides aminés. Malabsorption des protéines.</w:t>
      </w:r>
    </w:p>
    <w:p w14:paraId="47095B0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Les principales causes de la malabsorption sont tout d'abord la maldigestion protéique - les protéines ne sont pas décomposées en acides aminés. La malabsorption des acides aminés est en relation directe avec les processus pathologiques de la muqueuse intestinale - inflammation, atrophie et dystrophie. Comme l'étape finale de la digestion des di- et tripeptides est intracellulaire, dans les entérocytes, et qu'elle est couplée au processus d'absorption, ces deux phénomènes - maldigestion et malabsorption - se développent ensemble.</w:t>
      </w:r>
    </w:p>
    <w:p w14:paraId="4CF5EEC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Une autre manifestation de la malabsorption est la pénétration de molécules de protéines ou de polypeptides dans le milieu interne. Comme ces substances ont les propriétés d'antigènes hétérogènes, c'est-à-dire qu'elles ont une spécificité d'espèce et d'individu, leur absorption dans les milieux internes de l'organisme et leur contact avec le système immunitaire déclenchent des réactions allergiques - l'</w:t>
      </w:r>
      <w:r>
        <w:rPr>
          <w:rFonts w:ascii="Times New Roman" w:eastAsia="Times New Roman" w:hAnsi="Times New Roman" w:cs="Times New Roman"/>
          <w:i/>
          <w:sz w:val="24"/>
          <w:szCs w:val="24"/>
        </w:rPr>
        <w:t>allergie alimentaire</w:t>
      </w:r>
      <w:r>
        <w:rPr>
          <w:rFonts w:ascii="Times New Roman" w:eastAsia="Times New Roman" w:hAnsi="Times New Roman" w:cs="Times New Roman"/>
          <w:sz w:val="24"/>
          <w:szCs w:val="24"/>
        </w:rPr>
        <w:t>.</w:t>
      </w:r>
    </w:p>
    <w:p w14:paraId="11D68DA8"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Perturbations des fonctions hépatiques - Insuffisance hépatique</w:t>
      </w:r>
    </w:p>
    <w:p w14:paraId="6F052A7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Dans l'organisme, le foie a les fonctions d'un </w:t>
      </w:r>
      <w:r>
        <w:rPr>
          <w:rFonts w:ascii="Times New Roman" w:eastAsia="Times New Roman" w:hAnsi="Times New Roman" w:cs="Times New Roman"/>
          <w:i/>
          <w:sz w:val="24"/>
          <w:szCs w:val="24"/>
        </w:rPr>
        <w:t xml:space="preserve">protéinostat (aminostat) </w:t>
      </w:r>
      <w:r>
        <w:rPr>
          <w:rFonts w:ascii="Times New Roman" w:eastAsia="Times New Roman" w:hAnsi="Times New Roman" w:cs="Times New Roman"/>
          <w:sz w:val="24"/>
          <w:szCs w:val="24"/>
        </w:rPr>
        <w:t xml:space="preserve">par son implication dans les réactions protéiques anaboliques et cataboliques. </w:t>
      </w:r>
    </w:p>
    <w:p w14:paraId="343A04A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L'anabolisme protéique réalisé par le foie est représenté principalement par la synthèse des protéines (protéines pour le foie et protéines pour ″export″ destinées à d'autres organes), la synthèse des lipoprotéines, la synthèse des protéines du système de coagulation, la synthèse de l'urée à partir de l'ammoniaque, la synthèse de l'acide urique, la transamination des acides aminés.  La synthèse de l'urée à partir de l'ammoniaque représente une réaction de détoxification et d'élimination de l'ammoniaque de l'organisme. Le foie synthétise des protéines propres aux hépatocytes, nécessaires à leur réparation et à leur régénération. Il synthétise également des protéines plasmatiques (albumines, globulines sauf fraction gamma, lipoprotéines, céruloplasmine, properdine, pseudocholinestérase, etc.) Le catabolisme des protéines dans le foie est représenté par : la protéolyse, la désamination et la décarboxylation des acides aminés. La protéolyse est une réaction très importante pour la réalisation de la gluconéogenèse - la synthèse du glucose à partir des acides aminés. Le processus de décarboxylation entraîne la synthèse d'amines biogènes (du tryptophane - </w:t>
      </w:r>
      <w:r>
        <w:rPr>
          <w:rFonts w:ascii="Times New Roman" w:eastAsia="Times New Roman" w:hAnsi="Times New Roman" w:cs="Times New Roman"/>
          <w:i/>
          <w:sz w:val="24"/>
          <w:szCs w:val="24"/>
        </w:rPr>
        <w:t>tryptamine</w:t>
      </w:r>
      <w:r>
        <w:rPr>
          <w:rFonts w:ascii="Times New Roman" w:eastAsia="Times New Roman" w:hAnsi="Times New Roman" w:cs="Times New Roman"/>
          <w:sz w:val="24"/>
          <w:szCs w:val="24"/>
        </w:rPr>
        <w:t xml:space="preserve">, de l'histidine - </w:t>
      </w:r>
      <w:r>
        <w:rPr>
          <w:rFonts w:ascii="Times New Roman" w:eastAsia="Times New Roman" w:hAnsi="Times New Roman" w:cs="Times New Roman"/>
          <w:i/>
          <w:sz w:val="24"/>
          <w:szCs w:val="24"/>
        </w:rPr>
        <w:t xml:space="preserve">histamine, de </w:t>
      </w:r>
      <w:r>
        <w:rPr>
          <w:rFonts w:ascii="Times New Roman" w:eastAsia="Times New Roman" w:hAnsi="Times New Roman" w:cs="Times New Roman"/>
          <w:sz w:val="24"/>
          <w:szCs w:val="24"/>
        </w:rPr>
        <w:t xml:space="preserve">la tyrosine - </w:t>
      </w:r>
      <w:r>
        <w:rPr>
          <w:rFonts w:ascii="Times New Roman" w:eastAsia="Times New Roman" w:hAnsi="Times New Roman" w:cs="Times New Roman"/>
          <w:i/>
          <w:sz w:val="24"/>
          <w:szCs w:val="24"/>
        </w:rPr>
        <w:t>tyramine</w:t>
      </w:r>
      <w:r>
        <w:rPr>
          <w:rFonts w:ascii="Times New Roman" w:eastAsia="Times New Roman" w:hAnsi="Times New Roman" w:cs="Times New Roman"/>
          <w:sz w:val="24"/>
          <w:szCs w:val="24"/>
        </w:rPr>
        <w:t xml:space="preserve">, de la dioxiphénylalanine - DOPA - </w:t>
      </w:r>
      <w:r>
        <w:rPr>
          <w:rFonts w:ascii="Times New Roman" w:eastAsia="Times New Roman" w:hAnsi="Times New Roman" w:cs="Times New Roman"/>
          <w:i/>
          <w:sz w:val="24"/>
          <w:szCs w:val="24"/>
        </w:rPr>
        <w:t>dopamine</w:t>
      </w:r>
      <w:r>
        <w:rPr>
          <w:rFonts w:ascii="Times New Roman" w:eastAsia="Times New Roman" w:hAnsi="Times New Roman" w:cs="Times New Roman"/>
          <w:sz w:val="24"/>
          <w:szCs w:val="24"/>
        </w:rPr>
        <w:t xml:space="preserve">, du glutamate - </w:t>
      </w:r>
      <w:r>
        <w:rPr>
          <w:rFonts w:ascii="Times New Roman" w:eastAsia="Times New Roman" w:hAnsi="Times New Roman" w:cs="Times New Roman"/>
          <w:i/>
          <w:sz w:val="24"/>
          <w:szCs w:val="24"/>
        </w:rPr>
        <w:t>acide gamma -aminobutyrique</w:t>
      </w:r>
      <w:r>
        <w:rPr>
          <w:rFonts w:ascii="Times New Roman" w:eastAsia="Times New Roman" w:hAnsi="Times New Roman" w:cs="Times New Roman"/>
          <w:sz w:val="24"/>
          <w:szCs w:val="24"/>
        </w:rPr>
        <w:t xml:space="preserve">, etc...). </w:t>
      </w:r>
    </w:p>
    <w:p w14:paraId="30D2093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Dans l'insuffisance hépatique, développée à la suite de processus pathologiques primaires dans le foie (hépatite, hépatose, cirrhoses), tous les processus métaboliques des protéines sont perturbés. Les syndromes cliniques qui en résultent sont les suivants </w:t>
      </w:r>
      <w:r>
        <w:rPr>
          <w:rFonts w:ascii="Times New Roman" w:eastAsia="Times New Roman" w:hAnsi="Times New Roman" w:cs="Times New Roman"/>
          <w:i/>
          <w:sz w:val="24"/>
          <w:szCs w:val="24"/>
        </w:rPr>
        <w:t xml:space="preserve">: hypoprotéinémie </w:t>
      </w:r>
      <w:r>
        <w:rPr>
          <w:rFonts w:ascii="Times New Roman" w:eastAsia="Times New Roman" w:hAnsi="Times New Roman" w:cs="Times New Roman"/>
          <w:sz w:val="24"/>
          <w:szCs w:val="24"/>
        </w:rPr>
        <w:t>(hypoalbuminémie avec prédominance relative des gammaglobulines), hypocoagulation sanguine, carence en lipoprotéines et en phospholipides, diminution du taux de pseudocholinestérase et de céruloplasmine, hyperaminoacidémie, aminoacidurie, bilan azoté négatif, ammonémie.</w:t>
      </w:r>
    </w:p>
    <w:p w14:paraId="04B918F8"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Perturbations endocriniennes</w:t>
      </w:r>
    </w:p>
    <w:p w14:paraId="4BFF913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Les conséquences les plus importantes du métabolisme des protéines sont les troubles de la sécrétion de la somatotropine, des hormones sexuelles, des glucocorticoïdes et des hormones thyroïdiennes.</w:t>
      </w:r>
    </w:p>
    <w:p w14:paraId="26731B37" w14:textId="77777777" w:rsidR="00D24541" w:rsidRDefault="00D24541" w:rsidP="00D24541">
      <w:pPr>
        <w:numPr>
          <w:ilvl w:val="0"/>
          <w:numId w:val="1"/>
        </w:numPr>
        <w:spacing w:after="200"/>
        <w:ind w:firstLine="9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b/>
          <w:sz w:val="24"/>
          <w:szCs w:val="24"/>
        </w:rPr>
        <w:t xml:space="preserve">augmentation de l'élimination des protéines de l'organisme </w:t>
      </w:r>
      <w:r>
        <w:rPr>
          <w:rFonts w:ascii="Times New Roman" w:eastAsia="Times New Roman" w:hAnsi="Times New Roman" w:cs="Times New Roman"/>
          <w:sz w:val="24"/>
          <w:szCs w:val="24"/>
        </w:rPr>
        <w:t>avec des conséquences pathologiques est caractéristique de la néphropathie avec protéinurie, de l'entérite et des processus suppuratifs.</w:t>
      </w:r>
    </w:p>
    <w:p w14:paraId="28E7C8DA" w14:textId="77777777" w:rsidR="00D24541" w:rsidRDefault="00D24541" w:rsidP="00D24541">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Dyshoméostasie protéique. Dysprotéinémie. Hypoprotéinémie.</w:t>
      </w:r>
    </w:p>
    <w:p w14:paraId="5F110BB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Dans des conditions normales, le sang peut contenir les substances protéiques suivantes ou leurs dérivés : albumines, alpha-1, alpha-2, bêta et gamma-globulines, protéines du système hémocoagulant (prothrombine, fibrinogène, etc.), protéines de résistance non spécifique (protéines du système des compliments, properdine), protéines du système antioxydant (céruloplasmine), protéines entrant dans la composition des lipoprotéines (apoprotéines), acides aminés, protéines du système antioxydant, etc.), protéines de résistance non spécifique (protéines du système de complément, properdine), protéines du système antioxydant (céruloplasmine), protéines entrant dans la composition des lipoprotéines (apoprotéines), acides aminés, polypeptides, créatinine, urée, acide urique. </w:t>
      </w:r>
    </w:p>
    <w:p w14:paraId="2BFA5D7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Normoprotéinémie</w:t>
      </w:r>
      <w:r>
        <w:rPr>
          <w:rFonts w:ascii="Times New Roman" w:eastAsia="Times New Roman" w:hAnsi="Times New Roman" w:cs="Times New Roman"/>
          <w:sz w:val="24"/>
          <w:szCs w:val="24"/>
        </w:rPr>
        <w:t xml:space="preserve">. La quantité totale de protéines dans le sang est d'environ 75 g/l. Les troubles de l'homéostasie protéique du sang peuvent être à la fois quantitatifs et qualitatifs, avec des modifications du spectre protéique dans le plasma. </w:t>
      </w:r>
    </w:p>
    <w:p w14:paraId="3EE17C9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hypoprotéinémie </w:t>
      </w:r>
      <w:r>
        <w:rPr>
          <w:rFonts w:ascii="Times New Roman" w:eastAsia="Times New Roman" w:hAnsi="Times New Roman" w:cs="Times New Roman"/>
          <w:sz w:val="24"/>
          <w:szCs w:val="24"/>
        </w:rPr>
        <w:t>correspond à une diminution de la quantité de protéines totales dans le sang inférieure à 70 g/l.</w:t>
      </w:r>
    </w:p>
    <w:p w14:paraId="6B75BA8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causes de l'hypoprotéinémie sont les suivantes : apport insuffisant de protéines exogènes, malabsorption et maldigestion des protéines dans le tube digestif, perturbation du processus de synthèse des protéines, intensification du catabolisme des protéines, perte excessive de protéines. </w:t>
      </w:r>
    </w:p>
    <w:p w14:paraId="1E8252D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apport insuffisant en protéines entraîne le développement d'une </w:t>
      </w:r>
      <w:r>
        <w:rPr>
          <w:rFonts w:ascii="Times New Roman" w:eastAsia="Times New Roman" w:hAnsi="Times New Roman" w:cs="Times New Roman"/>
          <w:i/>
          <w:sz w:val="24"/>
          <w:szCs w:val="24"/>
        </w:rPr>
        <w:t>balance azotée négative</w:t>
      </w:r>
      <w:r>
        <w:rPr>
          <w:rFonts w:ascii="Times New Roman" w:eastAsia="Times New Roman" w:hAnsi="Times New Roman" w:cs="Times New Roman"/>
          <w:sz w:val="24"/>
          <w:szCs w:val="24"/>
        </w:rPr>
        <w:t xml:space="preserve">, un état dans lequel l'utilisation physiologique de l'azote endogène (protéines) (décomposition physiologique des structures, processus de réparation et de régénération) n'est pas compensée par une consommation adéquate d'azote. La maldigestion et la malabsorption des protéines ont les mêmes conséquences. </w:t>
      </w:r>
    </w:p>
    <w:p w14:paraId="08B0F52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Une diminution de la synthèse des protéines propres, lorsque l'apport en protéines est normal et que la digestion et l'absorption de celles-ci sont adéquates, peut se produire en cas de perturbation des fonctions protéosynthétiques du foie. Le foie synthétise presque toutes les protéines plasmatiques (à l'exception des immunoglobulines qui sont synthétisées par les cellules plasmatiques dérivées des lymphocytes B). En cas de diminution de la fonction de synthèse des protéines du foie, on observe principalement une réduction du taux sanguin d'albumines (</w:t>
      </w:r>
      <w:r>
        <w:rPr>
          <w:rFonts w:ascii="Times New Roman" w:eastAsia="Times New Roman" w:hAnsi="Times New Roman" w:cs="Times New Roman"/>
          <w:i/>
          <w:sz w:val="24"/>
          <w:szCs w:val="24"/>
        </w:rPr>
        <w:t>hypoalbuminémie</w:t>
      </w:r>
      <w:r>
        <w:rPr>
          <w:rFonts w:ascii="Times New Roman" w:eastAsia="Times New Roman" w:hAnsi="Times New Roman" w:cs="Times New Roman"/>
          <w:sz w:val="24"/>
          <w:szCs w:val="24"/>
        </w:rPr>
        <w:t xml:space="preserve">) en même temps qu'une augmentation du taux de globulines, ce qui se manifeste par un rapport albumine/globuline réduit - inférieur à 1,5.  En cas d'augmentation de la quantité de protéines macromoléculaires dans le sang, leur stabilité en solution est réduite, ce qui a une importance diagnostique et peut être détecté par des sondes de sédimentation des protéines hépatiques, plus précisément par une sédimentation plus facile sous l'influence de l'alcool et du thymol. Le déficit en protéines de la coagulation (prothrombine, fibrinogène) provoque un </w:t>
      </w:r>
      <w:r>
        <w:rPr>
          <w:rFonts w:ascii="Times New Roman" w:eastAsia="Times New Roman" w:hAnsi="Times New Roman" w:cs="Times New Roman"/>
          <w:i/>
          <w:sz w:val="24"/>
          <w:szCs w:val="24"/>
        </w:rPr>
        <w:t>syndrome hémorragique</w:t>
      </w:r>
      <w:r>
        <w:rPr>
          <w:rFonts w:ascii="Times New Roman" w:eastAsia="Times New Roman" w:hAnsi="Times New Roman" w:cs="Times New Roman"/>
          <w:sz w:val="24"/>
          <w:szCs w:val="24"/>
        </w:rPr>
        <w:t xml:space="preserve">. </w:t>
      </w:r>
    </w:p>
    <w:p w14:paraId="07B8792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Une perte massive de protéines plasmatiques peut être présente dans les brûlures associées à une plasmorrhagie, une diarrhée persistante, mais la plus fréquente est l'hypoprotéinémie dans le syndrome néphrotique. Le syndrome néphrotique est caractérisé par une dystrophie des tubes rénaux et leur incapacité à réabsorber dans le sang les protéines de l'urine primaire (filtrat glomérulaire). Comme, physiologiquement, les capillaires glomérulaires filtrent principalement des albumines de faible masse moléculaire, celles-ci représentent les protéines les plus perdues et la conséquence clinique est l'</w:t>
      </w:r>
      <w:r>
        <w:rPr>
          <w:rFonts w:ascii="Times New Roman" w:eastAsia="Times New Roman" w:hAnsi="Times New Roman" w:cs="Times New Roman"/>
          <w:i/>
          <w:sz w:val="24"/>
          <w:szCs w:val="24"/>
        </w:rPr>
        <w:t>hypoalbuminémie</w:t>
      </w:r>
      <w:r>
        <w:rPr>
          <w:rFonts w:ascii="Times New Roman" w:eastAsia="Times New Roman" w:hAnsi="Times New Roman" w:cs="Times New Roman"/>
          <w:sz w:val="24"/>
          <w:szCs w:val="24"/>
        </w:rPr>
        <w:t xml:space="preserve">. Leur faible masse moléculaire et leur densité élevée de particules protéiques dans le sang expliquent pourquoi ces protéines assurent la pression oncotique du sang. C'est pourquoi, l'hypoalbuminémie provoque l'hypoonchie, la polyurie et l'extravasation de liquide des vaisseaux dans l'espace interstitiel (œdème) et dans les cavités séreuses de l'organisme (hydropsie). </w:t>
      </w:r>
    </w:p>
    <w:p w14:paraId="4B0BE32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Les hypoprotéinémies, quelle que soit leur étiologie, ont des manifestations cliniques communes. Ainsi, l'hypoalbuminémie entraîne une hypoonchie, une polyurie, des œdèmes, une déshydratation et une hydropsie. La carence en protéines ayant des fonctions spécifiques - comme par exemple la protéine de coagulation, la céruloplasmine, les protéines du système du complément - entraîne respectivement une diminution de la coagulation sanguine, une diminution des capacités antioxydantes et une diminution de l'immunité non spécifique de l'organisme.</w:t>
      </w:r>
    </w:p>
    <w:p w14:paraId="2215DB7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Hyperaminoacidémie.</w:t>
      </w:r>
      <w:r>
        <w:rPr>
          <w:rFonts w:ascii="Times New Roman" w:eastAsia="Times New Roman" w:hAnsi="Times New Roman" w:cs="Times New Roman"/>
          <w:sz w:val="24"/>
          <w:szCs w:val="24"/>
        </w:rPr>
        <w:t xml:space="preserve">  La diminution de la capacité du foie à effectuer la transamination des acides aminés rend impossible la synthèse des acides aminés non essentiels, et par conséquent, même ces acides aminés deviennent essentiels et empêchent la synthèse des protéines.  Les acides aminés inutilisés pour la synthèse des protéines s'accumulent dans le sang (</w:t>
      </w:r>
      <w:r>
        <w:rPr>
          <w:rFonts w:ascii="Times New Roman" w:eastAsia="Times New Roman" w:hAnsi="Times New Roman" w:cs="Times New Roman"/>
          <w:i/>
          <w:sz w:val="24"/>
          <w:szCs w:val="24"/>
        </w:rPr>
        <w:t>hyperaminoacidémie</w:t>
      </w:r>
      <w:r>
        <w:rPr>
          <w:rFonts w:ascii="Times New Roman" w:eastAsia="Times New Roman" w:hAnsi="Times New Roman" w:cs="Times New Roman"/>
          <w:sz w:val="24"/>
          <w:szCs w:val="24"/>
        </w:rPr>
        <w:t>), sont éliminés dans les urines (</w:t>
      </w:r>
      <w:r>
        <w:rPr>
          <w:rFonts w:ascii="Times New Roman" w:eastAsia="Times New Roman" w:hAnsi="Times New Roman" w:cs="Times New Roman"/>
          <w:i/>
          <w:sz w:val="24"/>
          <w:szCs w:val="24"/>
        </w:rPr>
        <w:t>aminoacidurie</w:t>
      </w:r>
      <w:r>
        <w:rPr>
          <w:rFonts w:ascii="Times New Roman" w:eastAsia="Times New Roman" w:hAnsi="Times New Roman" w:cs="Times New Roman"/>
          <w:sz w:val="24"/>
          <w:szCs w:val="24"/>
        </w:rPr>
        <w:t>) et conduisent finalement à l'apparition d'un bilan azoté négatif.</w:t>
      </w:r>
    </w:p>
    <w:p w14:paraId="3B90E94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Hyperammoniémie. </w:t>
      </w:r>
      <w:r>
        <w:rPr>
          <w:rFonts w:ascii="Times New Roman" w:eastAsia="Times New Roman" w:hAnsi="Times New Roman" w:cs="Times New Roman"/>
          <w:sz w:val="24"/>
          <w:szCs w:val="24"/>
        </w:rPr>
        <w:t xml:space="preserve">La diminution de la fonction de détoxification du foie perturbe la transformation de l'ammoniaque en urée et entraîne une </w:t>
      </w:r>
      <w:r>
        <w:rPr>
          <w:rFonts w:ascii="Times New Roman" w:eastAsia="Times New Roman" w:hAnsi="Times New Roman" w:cs="Times New Roman"/>
          <w:i/>
          <w:sz w:val="24"/>
          <w:szCs w:val="24"/>
        </w:rPr>
        <w:t>hyperammoniémie</w:t>
      </w:r>
      <w:r>
        <w:rPr>
          <w:rFonts w:ascii="Times New Roman" w:eastAsia="Times New Roman" w:hAnsi="Times New Roman" w:cs="Times New Roman"/>
          <w:sz w:val="24"/>
          <w:szCs w:val="24"/>
        </w:rPr>
        <w:t>, composante pathogène importante du coma hépatique. Dans le coma hépatique, il y a une tendance à l'alcalinisation du sang - alcalose métabolique. Parallèlement, l'ammoniémie excite le centre respiratoire, provoquant une dyspnée qui se manifeste par une respiration profonde et rare (respiration de Kussmaul), une hyperventilation pulmonaire, une élimination excessive du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et, par conséquent, le développement d'une alcalose respiratoire. Il convient de mentionner qu'une forte accumulation de corps cétoniques, également caractéristique de l'insuffisance hépatique, peut provoquer une acidose métabolique.</w:t>
      </w:r>
    </w:p>
    <w:p w14:paraId="41511C9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diminution de la fonction de détoxification du foie entraîne une autointoxication gastro-intestinale par des produits métaboliques toxiques synthétisés par la microflore intestinale au cours des processus de putréfaction.</w:t>
      </w:r>
    </w:p>
    <w:p w14:paraId="5FC356C6"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conséquences d'une perturbation du métabolisme des protéines sont les suivantes : processus pathologiques cellulaires - dystrophie, nécrose, hyporégénération, sclérose - et processus pathologiques intégraux - diminution de la coagulation sanguine, immunodéficience, hyporéactivité.</w:t>
      </w:r>
    </w:p>
    <w:p w14:paraId="63E4DC6B" w14:textId="77777777" w:rsidR="00D24541" w:rsidRDefault="00D24541" w:rsidP="00D24541">
      <w:pPr>
        <w:spacing w:after="200"/>
        <w:ind w:firstLine="708"/>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MALNUTRITION PROTÉINO-ÉNERGÉTIQUE (PEM)</w:t>
      </w:r>
    </w:p>
    <w:p w14:paraId="5DE8E3B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PEM sévère est une maladie grave, souvent mortelle, qui touche les enfants. Elle est fréquente dans les pays à faible revenu, où jusqu'à 25 % des enfants peuvent être touchés, et où elle est un facteur important des taux de mortalité élevés chez les enfants de moins de 5 ans. Une diminution de la consommation alimentaire peut également se produire en raison d'une forte augmentation des prix, comme cela a été le cas au cours du premier semestre 2008. Dans les pays développés, la PEM survient chez les personnes âgées et les patients affaiblis dans les maisons de retraite et les hôpitaux.</w:t>
      </w:r>
    </w:p>
    <w:p w14:paraId="4A73C99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malnutrition </w:t>
      </w:r>
      <w:r>
        <w:rPr>
          <w:rFonts w:ascii="Times New Roman" w:eastAsia="Times New Roman" w:hAnsi="Times New Roman" w:cs="Times New Roman"/>
          <w:sz w:val="24"/>
          <w:szCs w:val="24"/>
        </w:rPr>
        <w:t>est déterminée en fonction de l'</w:t>
      </w:r>
      <w:r>
        <w:rPr>
          <w:rFonts w:ascii="Times New Roman" w:eastAsia="Times New Roman" w:hAnsi="Times New Roman" w:cs="Times New Roman"/>
          <w:i/>
          <w:sz w:val="24"/>
          <w:szCs w:val="24"/>
        </w:rPr>
        <w:t xml:space="preserve">indice de masse corporelle </w:t>
      </w:r>
      <w:r>
        <w:rPr>
          <w:rFonts w:ascii="Times New Roman" w:eastAsia="Times New Roman" w:hAnsi="Times New Roman" w:cs="Times New Roman"/>
          <w:sz w:val="24"/>
          <w:szCs w:val="24"/>
        </w:rPr>
        <w:t>(IMC, poids en kilogrammes divisé par la taille en mètres carrés). Un IMC inférieur à 16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est considéré comme une malnutrition (la fourchette normale se situe entre 18,5 et 25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Plus concrètement, un enfant dont le poids est inférieur à 80 % de la normale (indiquée dans les tableaux standard) est considéré comme souffrant de malnutrition. Toutefois, la perte de poids peut être masquée par un œdème généralisé, comme nous le verrons plus loin. D'autres paramètres utiles sont l'évaluation des réserves de graisse (épaisseur des plis cutanés), de la masse musculaire (réduction de la circonférence du bras) et des protéines sériques (les mesures de l'albumine et de la transferrine permettent d'évaluer l'adéquation du compartiment protéique viscéral).</w:t>
      </w:r>
    </w:p>
    <w:p w14:paraId="57090928"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Marasme et kwashiorkor</w:t>
      </w:r>
    </w:p>
    <w:p w14:paraId="10B12DE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Chez les enfants souffrant de malnutrition, la PEM se présente sous la forme d'une série de syndromes cliniques, tous caractérisés par un apport alimentaire en protéines et en calories insuffisant pour répondre aux besoins de l'organisme. Les deux extrémités du spectre des syndromes de la PEM sont connues sous le nom de </w:t>
      </w:r>
      <w:r>
        <w:rPr>
          <w:rFonts w:ascii="Times New Roman" w:eastAsia="Times New Roman" w:hAnsi="Times New Roman" w:cs="Times New Roman"/>
          <w:i/>
          <w:sz w:val="24"/>
          <w:szCs w:val="24"/>
        </w:rPr>
        <w:t xml:space="preserve">marasme </w:t>
      </w:r>
      <w:r>
        <w:rPr>
          <w:rFonts w:ascii="Times New Roman" w:eastAsia="Times New Roman" w:hAnsi="Times New Roman" w:cs="Times New Roman"/>
          <w:sz w:val="24"/>
          <w:szCs w:val="24"/>
        </w:rPr>
        <w:t xml:space="preserve">et de </w:t>
      </w:r>
      <w:r>
        <w:rPr>
          <w:rFonts w:ascii="Times New Roman" w:eastAsia="Times New Roman" w:hAnsi="Times New Roman" w:cs="Times New Roman"/>
          <w:i/>
          <w:sz w:val="24"/>
          <w:szCs w:val="24"/>
        </w:rPr>
        <w:t>kwashiorkor</w:t>
      </w:r>
      <w:r>
        <w:rPr>
          <w:rFonts w:ascii="Times New Roman" w:eastAsia="Times New Roman" w:hAnsi="Times New Roman" w:cs="Times New Roman"/>
          <w:sz w:val="24"/>
          <w:szCs w:val="24"/>
        </w:rPr>
        <w:t xml:space="preserve">. D'un point de vue fonctionnel, il existe deux compartiments protéiques à régulation différentielle dans l'organisme : le </w:t>
      </w:r>
      <w:r>
        <w:rPr>
          <w:rFonts w:ascii="Times New Roman" w:eastAsia="Times New Roman" w:hAnsi="Times New Roman" w:cs="Times New Roman"/>
          <w:i/>
          <w:sz w:val="24"/>
          <w:szCs w:val="24"/>
        </w:rPr>
        <w:t>compartiment somatique</w:t>
      </w:r>
      <w:r>
        <w:rPr>
          <w:rFonts w:ascii="Times New Roman" w:eastAsia="Times New Roman" w:hAnsi="Times New Roman" w:cs="Times New Roman"/>
          <w:sz w:val="24"/>
          <w:szCs w:val="24"/>
        </w:rPr>
        <w:t xml:space="preserve">, représenté par les protéines des muscles squelettiques, et le </w:t>
      </w:r>
      <w:r>
        <w:rPr>
          <w:rFonts w:ascii="Times New Roman" w:eastAsia="Times New Roman" w:hAnsi="Times New Roman" w:cs="Times New Roman"/>
          <w:i/>
          <w:sz w:val="24"/>
          <w:szCs w:val="24"/>
        </w:rPr>
        <w:t>compartiment viscéral</w:t>
      </w:r>
      <w:r>
        <w:rPr>
          <w:rFonts w:ascii="Times New Roman" w:eastAsia="Times New Roman" w:hAnsi="Times New Roman" w:cs="Times New Roman"/>
          <w:sz w:val="24"/>
          <w:szCs w:val="24"/>
        </w:rPr>
        <w:t>, représenté par les réserves de protéines dans les organes viscéraux, principalement le foie. Comme nous le verrons, le compartiment somatique est plus gravement affecté dans le marasme, et le compartiment viscéral est plus gravement appauvri dans le kwashiorkor.</w:t>
      </w:r>
    </w:p>
    <w:p w14:paraId="783BDA9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considère qu'un enfant est atteint de marasme lorsque son poids tombe à 60 % de la normale pour le sexe, la taille et l'âge. L'enfant marasmique souffre d'un retard de croissance et d'une perte musculaire, cette dernière résultant du catabolisme et de l'épuisement du compartiment des protéines somatiques. Il semble s'agir d'une réponse adaptative qui fournit à l'organisme des acides aminés comme source d'énergie. Le compartiment des protéines viscérales, qui est probablement plus précieux et essentiel à la survie, n'est que marginalement épuisé, et les taux d'albumine sérique sont donc normaux ou seulement légèrement réduits. Outre les protéines musculaires, la graisse sous-cutanée est également mobilisée et utilisée comme carburant. La production de leptine est faible, ce qui peut stimuler l'axe hypothalamo-hypophyso-surrénalien à produire des niveaux élevés de cortisol qui contribuent à la lipolyse. Avec de telles pertes de muscle et de graisse sous-cutanée, les extrémités sont émaciées ; en comparaison, la tête semble trop grosse pour le corps. L'anémie et les manifestations de carences vitaminiques multiples sont présentes, et il existe des preuves de déficit immunitaire, en particulier de l'immunité à médiation des lymphocytes T. Les infections concomitantes sont donc généralement présentes. Par conséquent, des infections concomitantes sont généralement présentes, ce qui impose des exigences nutritionnelles supplémentaires. Malheureusement, les images d'enfants morts ou proches de la mort, atteints de marasme, sont devenues presque banales dans les reportages télévisés et les journaux sur la famine et les catastrophes dans diverses régions du monde.</w:t>
      </w:r>
    </w:p>
    <w:p w14:paraId="2B3E294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w:t>
      </w:r>
      <w:r>
        <w:rPr>
          <w:rFonts w:ascii="Times New Roman" w:eastAsia="Times New Roman" w:hAnsi="Times New Roman" w:cs="Times New Roman"/>
          <w:i/>
          <w:sz w:val="24"/>
          <w:szCs w:val="24"/>
        </w:rPr>
        <w:t xml:space="preserve">kwashiorkor </w:t>
      </w:r>
      <w:r>
        <w:rPr>
          <w:rFonts w:ascii="Times New Roman" w:eastAsia="Times New Roman" w:hAnsi="Times New Roman" w:cs="Times New Roman"/>
          <w:sz w:val="24"/>
          <w:szCs w:val="24"/>
        </w:rPr>
        <w:t>survient lorsque la privation de protéines est relativement plus importante que la réduction du nombre total de calories. Il s'agit de la forme la plus courante de PEM observée chez les enfants africains qui ont été sevrés trop tôt et qui ont ensuite été nourris presque exclusivement d'hydrates de carbone (le nom kwashiorkor vient de la langue ga du Ghana qui décrit la maladie d'un bébé due à l'arrivée d'un autre enfant). La prévalence du kwashiorkor est également élevée dans les pays pauvres d'Asie du Sud-Est. Des formes moins graves peuvent apparaître dans le monde entier chez les personnes souffrant de diarrhées chroniques dans lesquelles les protéines ne sont pas absorbées ou chez celles qui perdent des protéines de façon chronique en raison d'affections telles que les entéropathies à perte de protéines, le syndrome néphrotique ou à la suite de brûlures étendues. Des cas de kwashiorkor résultant de régimes à la mode ou du remplacement du lait par des boissons à base de riz ont été signalés aux États-Unis.</w:t>
      </w:r>
    </w:p>
    <w:p w14:paraId="0AC3436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le cas du kwashiorkor, une privation marquée de protéines est associée à une perte sévère du compartiment protéique viscéral, et l'</w:t>
      </w:r>
      <w:r>
        <w:rPr>
          <w:rFonts w:ascii="Times New Roman" w:eastAsia="Times New Roman" w:hAnsi="Times New Roman" w:cs="Times New Roman"/>
          <w:i/>
          <w:sz w:val="24"/>
          <w:szCs w:val="24"/>
        </w:rPr>
        <w:t xml:space="preserve">hypoalbuminémie </w:t>
      </w:r>
      <w:r>
        <w:rPr>
          <w:rFonts w:ascii="Times New Roman" w:eastAsia="Times New Roman" w:hAnsi="Times New Roman" w:cs="Times New Roman"/>
          <w:sz w:val="24"/>
          <w:szCs w:val="24"/>
        </w:rPr>
        <w:t xml:space="preserve">qui en résulte donne lieu à un œdème généralisé ou dépendant. La perte de poids chez ces patients est masquée par l'augmentation de la rétention d'eau. Contrairement au marasme, la graisse sous-cutanée et la masse musculaire sont relativement épargnées. Les enfants atteints de kwashiorkor présentent des lésions cutanées caractéristiques, avec une alternance de zones d'hyperpigmentation, de zones de desquamation et d'hypopigmentation, donnant un aspect de "peinture écaillée". Les changements capillaires comprennent une perte globale de couleur ou une alternance de bandes de cheveux pâles et plus foncés. Parmi les autres caractéristiques qui différencient le kwashiorkor du marasme, citons un foie gras et hypertrophié (résultant d'une synthèse réduite de la protéine porteuse des lipoprotéines), ainsi que l'apparition d'apathie, </w:t>
      </w:r>
      <w:r>
        <w:rPr>
          <w:rFonts w:ascii="Times New Roman" w:eastAsia="Times New Roman" w:hAnsi="Times New Roman" w:cs="Times New Roman"/>
          <w:sz w:val="24"/>
          <w:szCs w:val="24"/>
        </w:rPr>
        <w:lastRenderedPageBreak/>
        <w:t xml:space="preserve">d'apathie et de perte d'appétit. Des carences en vitamines sont probables, de même que des déficiences immunitaires et des infections secondaires. </w:t>
      </w:r>
    </w:p>
    <w:p w14:paraId="7FFE2E8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Comme nous l'avons déjà dit, le marasme et le kwashiorkor sont les deux extrémités d'un spectre, et il existe un chevauchement considérable entre ces affections.</w:t>
      </w:r>
    </w:p>
    <w:p w14:paraId="554C800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PEM secondaire </w:t>
      </w:r>
      <w:r>
        <w:rPr>
          <w:rFonts w:ascii="Times New Roman" w:eastAsia="Times New Roman" w:hAnsi="Times New Roman" w:cs="Times New Roman"/>
          <w:sz w:val="24"/>
          <w:szCs w:val="24"/>
        </w:rPr>
        <w:t>se développe souvent chez les malades chroniques, les personnes âgées et les patients alités. Un questionnaire de 18 questions, connu sous le nom de Mininutritional Assessment (MNA), est souvent utilisé pour mesurer l'état nutritionnel des personnes âgées. On estime que plus de 50 % des personnes âgées résidant dans des maisons de retraite aux États-Unis sont mal nourries. Une perte de poids de plus de 5 % associée à la PEM multiplie par près de cinq le risque de mortalité chez les patients des maisons de retraite. Les patients mal nourris alités ou hospitalisés présentent un risque accru d'infection, de septicémie, d'altération de la cicatrisation des plaies et de décès après une intervention chirurgicale.</w:t>
      </w:r>
    </w:p>
    <w:p w14:paraId="72D99923"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Cachexie</w:t>
      </w:r>
    </w:p>
    <w:p w14:paraId="20D4BDD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PEM est une complication fréquente chez les patients atteints du SIDA ou de cancers avancés, et dans ces contextes, elle est connue sous le nom de </w:t>
      </w:r>
      <w:r>
        <w:rPr>
          <w:rFonts w:ascii="Times New Roman" w:eastAsia="Times New Roman" w:hAnsi="Times New Roman" w:cs="Times New Roman"/>
          <w:i/>
          <w:sz w:val="24"/>
          <w:szCs w:val="24"/>
        </w:rPr>
        <w:t>cachexie</w:t>
      </w:r>
      <w:r>
        <w:rPr>
          <w:rFonts w:ascii="Times New Roman" w:eastAsia="Times New Roman" w:hAnsi="Times New Roman" w:cs="Times New Roman"/>
          <w:sz w:val="24"/>
          <w:szCs w:val="24"/>
        </w:rPr>
        <w:t xml:space="preserve">. La cachexie touche environ 50 % des patients atteints de cancer, le plus souvent des personnes souffrant de cancers gastro-intestinaux, pancréatiques et pulmonaires, et est responsable d'environ 30 % des décès dus au cancer. Il s'agit d'un état très débilitant caractérisé par une perte de poids extrême, de la fatigue, une atrophie musculaire, de l'anémie, de l'anorexie et des œdèmes. La mortalité est généralement la conséquence de l'atrophie du diaphragme et des autres muscles respiratoires. Les causes précises de la cachexie ne sont pas connues, mais il est clair que les agents sécrétés par les tumeurs et les réponses de l'hôte contribuent à son développement. Les agents cachétiques produits par les tumeurs comprennent : </w:t>
      </w:r>
    </w:p>
    <w:p w14:paraId="1C82B63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PIF </w:t>
      </w: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proteolysis-inducing factor</w:t>
      </w:r>
      <w:r>
        <w:rPr>
          <w:rFonts w:ascii="Times New Roman" w:eastAsia="Times New Roman" w:hAnsi="Times New Roman" w:cs="Times New Roman"/>
          <w:sz w:val="24"/>
          <w:szCs w:val="24"/>
        </w:rPr>
        <w:t xml:space="preserve">), un polypeptide glycosylé excrété dans l'urine des patients en perte de poids atteints de cancers du pancréas, du sein, du colon et d'autres cancers. </w:t>
      </w:r>
    </w:p>
    <w:p w14:paraId="5D9469A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 LMF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lipid-mobilizing factor</w:t>
      </w:r>
      <w:r>
        <w:rPr>
          <w:rFonts w:ascii="Times New Roman" w:eastAsia="Times New Roman" w:hAnsi="Times New Roman" w:cs="Times New Roman"/>
          <w:sz w:val="24"/>
          <w:szCs w:val="24"/>
        </w:rPr>
        <w:t xml:space="preserve">), qui augmente l'oxydation des acides gras, et les cytokines pro-inflammatoires telles que le TNF (initialement connu sous le nom de </w:t>
      </w:r>
      <w:r>
        <w:rPr>
          <w:rFonts w:ascii="Times New Roman" w:eastAsia="Times New Roman" w:hAnsi="Times New Roman" w:cs="Times New Roman"/>
          <w:i/>
          <w:sz w:val="24"/>
          <w:szCs w:val="24"/>
        </w:rPr>
        <w:t>cachetine</w:t>
      </w:r>
      <w:r>
        <w:rPr>
          <w:rFonts w:ascii="Times New Roman" w:eastAsia="Times New Roman" w:hAnsi="Times New Roman" w:cs="Times New Roman"/>
          <w:sz w:val="24"/>
          <w:szCs w:val="24"/>
        </w:rPr>
        <w:t>), l'interleukine-2 (IL-2) et l'IL-6. Le TNF et l'IL-6 déclenchent une réponse en phase aiguë de l'hôte, augmentant la sécrétion de la protéine C-réactive et du fibrinogène, et diminuant les concentrations plasmatiques d'albumine.</w:t>
      </w:r>
    </w:p>
    <w:p w14:paraId="21A58B6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facteur induisant la protéolyse (PIF) et les cytokines pro-inflammatoires provoquent la dégradation du muscle squelettique par l'activation induite par le NFκB (</w:t>
      </w:r>
      <w:r>
        <w:rPr>
          <w:rFonts w:ascii="Times New Roman" w:eastAsia="Times New Roman" w:hAnsi="Times New Roman" w:cs="Times New Roman"/>
          <w:i/>
          <w:sz w:val="24"/>
          <w:szCs w:val="24"/>
        </w:rPr>
        <w:t>facteur nucléaire kappa-bêta</w:t>
      </w:r>
      <w:r>
        <w:rPr>
          <w:rFonts w:ascii="Times New Roman" w:eastAsia="Times New Roman" w:hAnsi="Times New Roman" w:cs="Times New Roman"/>
          <w:sz w:val="24"/>
          <w:szCs w:val="24"/>
        </w:rPr>
        <w:t xml:space="preserve">) de la voie du protéasome ubiquitine, conduisant à la dégradation de la chaîne lourde de la myosine. Des données plus récentes impliquent également des altérations de la membrane myofibrillaire du muscle squelettique avec une perte de </w:t>
      </w:r>
      <w:r>
        <w:rPr>
          <w:rFonts w:ascii="Times New Roman" w:eastAsia="Times New Roman" w:hAnsi="Times New Roman" w:cs="Times New Roman"/>
          <w:i/>
          <w:sz w:val="24"/>
          <w:szCs w:val="24"/>
        </w:rPr>
        <w:t xml:space="preserve">dystrophine </w:t>
      </w:r>
      <w:r>
        <w:rPr>
          <w:rFonts w:ascii="Times New Roman" w:eastAsia="Times New Roman" w:hAnsi="Times New Roman" w:cs="Times New Roman"/>
          <w:sz w:val="24"/>
          <w:szCs w:val="24"/>
        </w:rPr>
        <w:t>causée par des altérations du complexe dystrophine-glycoprotéine comme contribuant à l'atrophie musculaire, par un mécanisme similaire à celui qui se produit dans certaines dystrophies musculaires.</w:t>
      </w:r>
    </w:p>
    <w:p w14:paraId="66E0B0B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Phénylcétonurie </w:t>
      </w:r>
      <w:r>
        <w:rPr>
          <w:rFonts w:ascii="Times New Roman" w:eastAsia="Times New Roman" w:hAnsi="Times New Roman" w:cs="Times New Roman"/>
          <w:sz w:val="24"/>
          <w:szCs w:val="24"/>
        </w:rPr>
        <w:t xml:space="preserve">(PCU) </w:t>
      </w:r>
    </w:p>
    <w:p w14:paraId="54E7A02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PCU se caractérise par des anomalies du métabolisme de la phénylalanine, qui se traduisent par une </w:t>
      </w:r>
      <w:r>
        <w:rPr>
          <w:rFonts w:ascii="Times New Roman" w:eastAsia="Times New Roman" w:hAnsi="Times New Roman" w:cs="Times New Roman"/>
          <w:i/>
          <w:sz w:val="24"/>
          <w:szCs w:val="24"/>
        </w:rPr>
        <w:t xml:space="preserve">hyperphénylalaninémie </w:t>
      </w:r>
      <w:r>
        <w:rPr>
          <w:rFonts w:ascii="Times New Roman" w:eastAsia="Times New Roman" w:hAnsi="Times New Roman" w:cs="Times New Roman"/>
          <w:sz w:val="24"/>
          <w:szCs w:val="24"/>
        </w:rPr>
        <w:t xml:space="preserve">(Fig.4). La PCU est une maladie autosomique récessive, et la grande majorité des cas de PCU sont dus à un déficit de l'enzyme </w:t>
      </w:r>
      <w:r>
        <w:rPr>
          <w:rFonts w:ascii="Times New Roman" w:eastAsia="Times New Roman" w:hAnsi="Times New Roman" w:cs="Times New Roman"/>
          <w:i/>
          <w:sz w:val="24"/>
          <w:szCs w:val="24"/>
        </w:rPr>
        <w:t xml:space="preserve">phénylalanine hydroxylase </w:t>
      </w:r>
      <w:r>
        <w:rPr>
          <w:rFonts w:ascii="Times New Roman" w:eastAsia="Times New Roman" w:hAnsi="Times New Roman" w:cs="Times New Roman"/>
          <w:sz w:val="24"/>
          <w:szCs w:val="24"/>
        </w:rPr>
        <w:t xml:space="preserve">(PAH). Les nourrissons porteurs de mutations entraînant une absence d'activité de la PAH présentent les caractéristiques classiques de la PCU, tandis que ceux dont l'activité résiduelle atteint jusqu'à 6 % présentent une maladie plus légère. En outre, certaines mutations n'entraînent que de modestes élévations des taux de phénylalanine dans le sang, sans lésions neurologiques </w:t>
      </w:r>
      <w:r>
        <w:rPr>
          <w:rFonts w:ascii="Times New Roman" w:eastAsia="Times New Roman" w:hAnsi="Times New Roman" w:cs="Times New Roman"/>
          <w:sz w:val="24"/>
          <w:szCs w:val="24"/>
        </w:rPr>
        <w:lastRenderedPageBreak/>
        <w:t xml:space="preserve">associées. Cette dernière condition est appelée </w:t>
      </w:r>
      <w:r>
        <w:rPr>
          <w:rFonts w:ascii="Times New Roman" w:eastAsia="Times New Roman" w:hAnsi="Times New Roman" w:cs="Times New Roman"/>
          <w:i/>
          <w:sz w:val="24"/>
          <w:szCs w:val="24"/>
        </w:rPr>
        <w:t>hyperphénylalaninémie bénigne.</w:t>
      </w:r>
      <w:r>
        <w:rPr>
          <w:rFonts w:ascii="Times New Roman" w:eastAsia="Times New Roman" w:hAnsi="Times New Roman" w:cs="Times New Roman"/>
          <w:sz w:val="24"/>
          <w:szCs w:val="24"/>
        </w:rPr>
        <w:t xml:space="preserve"> La mesure de la phénylalanine sérique permet de différencier l'hyperphénylalaninémie bénigne de la PCU classique, les concentrations étant généralement supérieures à 600 μM dans la PCU (les concentrations normales de phénylalanine, en revanche, sont inférieures à 120 μM). </w:t>
      </w:r>
    </w:p>
    <w:p w14:paraId="54F83CA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L'anomalie biochimique de la PCU est une incapacité à convertir la phénylalanine en tyrosine. Chez les enfants normaux, moins de 50 % de l'apport alimentaire en phénylalanine est nécessaire à la synthèse des protéines. Le reste est irréversiblement converti en tyrosine par l'HAP dans le foie, dans le cadre d'une voie métabolique complexe. </w:t>
      </w:r>
    </w:p>
    <w:p w14:paraId="523AD05E" w14:textId="77777777" w:rsidR="00D24541" w:rsidRDefault="00D24541" w:rsidP="00D24541">
      <w:pPr>
        <w:spacing w:after="200"/>
        <w:ind w:firstLine="708"/>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C6E563D" wp14:editId="2FEF540D">
            <wp:extent cx="5053470" cy="3103262"/>
            <wp:effectExtent l="9525" t="9525" r="9525" b="9525"/>
            <wp:docPr id="45" name="image46.jpg" descr="D:\Новая папка\fenilctonuria.jpg"/>
            <wp:cNvGraphicFramePr/>
            <a:graphic xmlns:a="http://schemas.openxmlformats.org/drawingml/2006/main">
              <a:graphicData uri="http://schemas.openxmlformats.org/drawingml/2006/picture">
                <pic:pic xmlns:pic="http://schemas.openxmlformats.org/drawingml/2006/picture">
                  <pic:nvPicPr>
                    <pic:cNvPr id="0" name="image46.jpg" descr="D:\Новая папка\fenilctonuria.jpg"/>
                    <pic:cNvPicPr preferRelativeResize="0"/>
                  </pic:nvPicPr>
                  <pic:blipFill>
                    <a:blip r:embed="rId10"/>
                    <a:srcRect/>
                    <a:stretch>
                      <a:fillRect/>
                    </a:stretch>
                  </pic:blipFill>
                  <pic:spPr>
                    <a:xfrm>
                      <a:off x="0" y="0"/>
                      <a:ext cx="5053470" cy="3103262"/>
                    </a:xfrm>
                    <a:prstGeom prst="rect">
                      <a:avLst/>
                    </a:prstGeom>
                    <a:ln w="9525">
                      <a:solidFill>
                        <a:srgbClr val="000000"/>
                      </a:solidFill>
                      <a:prstDash val="solid"/>
                    </a:ln>
                  </pic:spPr>
                </pic:pic>
              </a:graphicData>
            </a:graphic>
          </wp:inline>
        </w:drawing>
      </w:r>
    </w:p>
    <w:p w14:paraId="355884DC" w14:textId="77777777" w:rsidR="00D24541" w:rsidRDefault="00D24541" w:rsidP="00D24541">
      <w:pPr>
        <w:spacing w:after="200"/>
        <w:ind w:firstLine="70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4. Mécanismes de la phénylcétonurie </w:t>
      </w:r>
      <w:r>
        <w:rPr>
          <w:rFonts w:ascii="Times New Roman" w:eastAsia="Times New Roman" w:hAnsi="Times New Roman" w:cs="Times New Roman"/>
          <w:sz w:val="24"/>
          <w:szCs w:val="24"/>
        </w:rPr>
        <w:t>(d'après S. Silbernagl et F. Lang ; Color Atlas of Pathophysiology)</w:t>
      </w:r>
    </w:p>
    <w:p w14:paraId="1FEDB62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individus atteints de PCU "classique" présentent un déficit sévère en HAP, entraînant une </w:t>
      </w:r>
      <w:r>
        <w:rPr>
          <w:rFonts w:ascii="Times New Roman" w:eastAsia="Times New Roman" w:hAnsi="Times New Roman" w:cs="Times New Roman"/>
          <w:i/>
          <w:sz w:val="24"/>
          <w:szCs w:val="24"/>
        </w:rPr>
        <w:t xml:space="preserve">hyperphénylalaninémie </w:t>
      </w:r>
      <w:r>
        <w:rPr>
          <w:rFonts w:ascii="Times New Roman" w:eastAsia="Times New Roman" w:hAnsi="Times New Roman" w:cs="Times New Roman"/>
          <w:sz w:val="24"/>
          <w:szCs w:val="24"/>
        </w:rPr>
        <w:t>et ses conséquences pathologiques. En cas de blocage du métabolisme de la phénylalanine dû à l'absence d'HAP, des voies de dérivation mineures entrent en jeu, produisant de l'</w:t>
      </w:r>
      <w:r>
        <w:rPr>
          <w:rFonts w:ascii="Times New Roman" w:eastAsia="Times New Roman" w:hAnsi="Times New Roman" w:cs="Times New Roman"/>
          <w:i/>
          <w:sz w:val="24"/>
          <w:szCs w:val="24"/>
        </w:rPr>
        <w:t xml:space="preserve">acide phénylpyruvique, de l'acide phényllactique, de l'acide phénylacétique </w:t>
      </w:r>
      <w:r>
        <w:rPr>
          <w:rFonts w:ascii="Times New Roman" w:eastAsia="Times New Roman" w:hAnsi="Times New Roman" w:cs="Times New Roman"/>
          <w:sz w:val="24"/>
          <w:szCs w:val="24"/>
        </w:rPr>
        <w:t>et de l'</w:t>
      </w:r>
      <w:r>
        <w:rPr>
          <w:rFonts w:ascii="Times New Roman" w:eastAsia="Times New Roman" w:hAnsi="Times New Roman" w:cs="Times New Roman"/>
          <w:i/>
          <w:sz w:val="24"/>
          <w:szCs w:val="24"/>
        </w:rPr>
        <w:t xml:space="preserve">acide </w:t>
      </w:r>
      <w:r>
        <w:rPr>
          <w:rFonts w:ascii="Times New Roman" w:eastAsia="Times New Roman" w:hAnsi="Times New Roman" w:cs="Times New Roman"/>
          <w:sz w:val="24"/>
          <w:szCs w:val="24"/>
        </w:rPr>
        <w:t>o-hydroxyphénylacétique, qui sont excrétés en grandes quantités dans l'urine en cas de PCU. Certains de ces métabolites anormaux sont excrétés dans la sueur, et l'acide phénylacétique en particulier confère une forte odeur de moisi aux nourrissons atteints. On pense que l'excès de phénylalanine ou de ses métabolites contribue aux lésions cérébrales de la PCU. Les nourrissons atteints sont normaux à la naissance mais, au bout de quelques semaines, leur taux de phénylalanine plasmatique augmente, ce qui entrave d'une certaine manière le développement du cerveau. En général, à l'âge de six mois, un retard mental sévère devient évident. Environ un tiers de ces enfants ne peuvent jamais marcher et deux tiers ne peuvent pas parler. Des crises d'épilepsie, d'autres anomalies neurologiques, une diminution de la pigmentation des cheveux et de la peau et de l'eczéma accompagnent souvent le retard mental chez les enfants non traités. L'hyperphénylalaninémie et le retard mental qui en résulte peuvent être évités en limitant l'apport de phénylalanine dès le début de la vie. C'est pourquoi plusieurs procédures de dépistage sont couramment utilisées pour détecter la PCU dans la période postnatale immédiate.</w:t>
      </w:r>
    </w:p>
    <w:p w14:paraId="7D72B668" w14:textId="77777777" w:rsidR="00D24541" w:rsidRDefault="00D24541" w:rsidP="00D24541">
      <w:pPr>
        <w:spacing w:after="200"/>
        <w:rPr>
          <w:rFonts w:ascii="Times New Roman" w:eastAsia="Times New Roman" w:hAnsi="Times New Roman" w:cs="Times New Roman"/>
          <w:b/>
          <w:sz w:val="28"/>
          <w:szCs w:val="28"/>
        </w:rPr>
      </w:pPr>
    </w:p>
    <w:p w14:paraId="34CCC0B9" w14:textId="77777777" w:rsidR="00D24541" w:rsidRDefault="00D24541" w:rsidP="00D24541">
      <w:pPr>
        <w:spacing w:after="200"/>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Déséquilibre du métabolisme des lipides</w:t>
      </w:r>
    </w:p>
    <w:p w14:paraId="2E0A464F" w14:textId="77777777" w:rsidR="00D24541" w:rsidRDefault="00D24541" w:rsidP="00D24541">
      <w:pPr>
        <w:spacing w:line="240" w:lineRule="auto"/>
        <w:jc w:val="both"/>
        <w:rPr>
          <w:rFonts w:ascii="StoneSerif" w:eastAsia="StoneSerif" w:hAnsi="StoneSerif" w:cs="StoneSerif"/>
          <w:color w:val="292526"/>
          <w:sz w:val="18"/>
          <w:szCs w:val="18"/>
        </w:rPr>
      </w:pPr>
      <w:r>
        <w:rPr>
          <w:rFonts w:ascii="StoneSerif" w:eastAsia="StoneSerif" w:hAnsi="StoneSerif" w:cs="StoneSerif"/>
          <w:color w:val="292526"/>
          <w:sz w:val="18"/>
          <w:szCs w:val="18"/>
        </w:rPr>
        <w:t xml:space="preserve">Le régime alimentaire américain moyen fournit environ 33 % des calories sous forme de graisses. Contrairement au glucose, qui ne fournit que 4 kcal/g, chaque gramme de graisse fournit 9 kcal/g. De 30 à 50 % des glucides consommés dans l'alimentation sont transformés en triglycérides pour être stockés. Un triglycéride contient trois acides gras liés par une molécule de glycérol. Les acides gras et les triglycérides peuvent provenir de sources alimentaires, être synthétisés dans l'organisme ou être mobilisés à partir des dépôts de graisse. Les glucides en excès sont transformés en triglycérides et transportés vers les cellules adipeuses pour y être stockés. Un gramme de graisse anhydre (sans eau) stocke plus de six fois plus d'énergie qu'un gramme de glycogène hydraté. L'une des raisons pour lesquelles la perte de poids est la plus importante au début d'un jeûne ou d'un programme de perte de poids est que c'est à ce moment-là que le corps utilise ses réserves de glycogène contenant de l'eau. Plus tard, lorsque le corps commence à utiliser l'énergie stockée sous forme de triglycérides, les pertes d'eau diminuent et la perte de poids tend à se stabiliser. La mobilisation des acides gras pour la production d'énergie est facilitée par l'action des </w:t>
      </w:r>
      <w:r>
        <w:rPr>
          <w:rFonts w:ascii="StoneSerif" w:eastAsia="StoneSerif" w:hAnsi="StoneSerif" w:cs="StoneSerif"/>
          <w:i/>
          <w:color w:val="292526"/>
          <w:sz w:val="18"/>
          <w:szCs w:val="18"/>
        </w:rPr>
        <w:t xml:space="preserve">lipases </w:t>
      </w:r>
      <w:r>
        <w:rPr>
          <w:rFonts w:ascii="StoneSerif" w:eastAsia="StoneSerif" w:hAnsi="StoneSerif" w:cs="StoneSerif"/>
          <w:color w:val="292526"/>
          <w:sz w:val="18"/>
          <w:szCs w:val="18"/>
        </w:rPr>
        <w:t xml:space="preserve">(enzymes) qui décomposent les triglycérides en trois acides gras et une molécule de glycérol. L'activation des lipases et la mobilisation ultérieure des acides gras sont stimulées par l'épinéphrine, les hormones glucocorticoïdes, les hormones de croissance et le glucagon. Une fois les triglycérides décomposés, les acides gras et le glycérol qu'ils contiennent passent dans la circulation et se dirigent vers le foie, où ils sont éliminés du sang et utilisés comme source d'énergie ou convertis en cétones. La combustion efficace des acides gras nécessite un équilibre entre le métabolisme des glucides et celui des graisses. Le rapport entre l'utilisation des acides gras et des glucides est modifié dans les situations qui favorisent la dégradation des graisses, comme le diabète sucré et le jeûne. Dans ces situations, le foie produit plus de cétones qu'il ne peut en utiliser ; cet excès est libéré dans la circulation sanguine. Les cétones peuvent constituer une source d'énergie importante, car même le cerveau s'adapte à l'utilisation des cétones pendant les périodes prolongées de famine. Un problème se pose toutefois lorsque la dégradation des graisses s'accélère et que la production de corps cétoniques dépasse l'utilisation des tissus. Les corps cétoniques étant des acides organiques, ils provoquent une </w:t>
      </w:r>
      <w:r>
        <w:rPr>
          <w:rFonts w:ascii="StoneSerif" w:eastAsia="StoneSerif" w:hAnsi="StoneSerif" w:cs="StoneSerif"/>
          <w:i/>
          <w:color w:val="292526"/>
          <w:sz w:val="18"/>
          <w:szCs w:val="18"/>
        </w:rPr>
        <w:t xml:space="preserve">acidocétose </w:t>
      </w:r>
      <w:r>
        <w:rPr>
          <w:rFonts w:ascii="StoneSerif" w:eastAsia="StoneSerif" w:hAnsi="StoneSerif" w:cs="StoneSerif"/>
          <w:color w:val="292526"/>
          <w:sz w:val="18"/>
          <w:szCs w:val="18"/>
        </w:rPr>
        <w:t>lorsqu'ils sont présents en quantités excessives.</w:t>
      </w:r>
      <w:r>
        <w:rPr>
          <w:noProof/>
        </w:rPr>
        <w:drawing>
          <wp:anchor distT="0" distB="0" distL="114300" distR="114300" simplePos="0" relativeHeight="251659264" behindDoc="0" locked="0" layoutInCell="1" hidden="0" allowOverlap="1" wp14:anchorId="0B785429" wp14:editId="22416FC7">
            <wp:simplePos x="0" y="0"/>
            <wp:positionH relativeFrom="column">
              <wp:posOffset>1</wp:posOffset>
            </wp:positionH>
            <wp:positionV relativeFrom="paragraph">
              <wp:posOffset>0</wp:posOffset>
            </wp:positionV>
            <wp:extent cx="527050" cy="399415"/>
            <wp:effectExtent l="0" t="0" r="0" b="0"/>
            <wp:wrapSquare wrapText="bothSides" distT="0" distB="0" distL="114300" distR="114300"/>
            <wp:docPr id="4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
                    <a:srcRect/>
                    <a:stretch>
                      <a:fillRect/>
                    </a:stretch>
                  </pic:blipFill>
                  <pic:spPr>
                    <a:xfrm>
                      <a:off x="0" y="0"/>
                      <a:ext cx="527050" cy="399415"/>
                    </a:xfrm>
                    <a:prstGeom prst="rect">
                      <a:avLst/>
                    </a:prstGeom>
                    <a:ln/>
                  </pic:spPr>
                </pic:pic>
              </a:graphicData>
            </a:graphic>
          </wp:anchor>
        </w:drawing>
      </w:r>
    </w:p>
    <w:p w14:paraId="5B381B04" w14:textId="77777777" w:rsidR="00D24541" w:rsidRDefault="00D24541" w:rsidP="00D24541">
      <w:pPr>
        <w:spacing w:line="240" w:lineRule="auto"/>
        <w:ind w:firstLine="720"/>
        <w:jc w:val="both"/>
        <w:rPr>
          <w:rFonts w:ascii="StoneSerif" w:eastAsia="StoneSerif" w:hAnsi="StoneSerif" w:cs="StoneSerif"/>
          <w:color w:val="292526"/>
          <w:sz w:val="18"/>
          <w:szCs w:val="18"/>
        </w:rPr>
      </w:pPr>
      <w:r>
        <w:rPr>
          <w:rFonts w:ascii="StoneSerif" w:eastAsia="StoneSerif" w:hAnsi="StoneSerif" w:cs="StoneSerif"/>
          <w:color w:val="292526"/>
          <w:sz w:val="18"/>
          <w:szCs w:val="18"/>
        </w:rPr>
        <w:t>Les graisses alimentaires sont principalement composées de triglycérides (un mélange d'acides gras et de glycérol). Les acides gras sont saturés (pas de double liaison), monoinsaturés (une double liaison) ou polyinsaturés (deux doubles liaisons ou plus). Les acides gras saturés augmentent le taux de cholestérol sanguin, tandis que les graisses monoinsaturées et polyinsaturées le réduisent. Les graisses saturées proviennent généralement de sources animales et restent solides à température ambiante. À l'exception des huiles de coco et de palme (qui sont saturées), les graisses insaturées se trouvent dans les huiles végétales et sont généralement liquides à température ambiante. Les graisses alimentaires fournissent de l'énergie, servent de support aux vitamines liposolubles, sont les précurseurs des prostaglandines et sont une source d'acides gras. L'acide linoléique, un acide gras polyinsaturé, est le seul acide gras nécessaire. Une carence en acide linoléique entraîne une dermatite. Un apport suffisant a été fixé pour les acides linoléique et</w:t>
      </w:r>
      <w:r>
        <w:rPr>
          <w:rFonts w:ascii="Noto Sans Symbols" w:eastAsia="Noto Sans Symbols" w:hAnsi="Noto Sans Symbols" w:cs="Noto Sans Symbols"/>
          <w:color w:val="292526"/>
          <w:sz w:val="18"/>
          <w:szCs w:val="18"/>
        </w:rPr>
        <w:t xml:space="preserve"> 〈-linolénique</w:t>
      </w:r>
      <w:r>
        <w:rPr>
          <w:rFonts w:ascii="StoneSerif" w:eastAsia="StoneSerif" w:hAnsi="StoneSerif" w:cs="StoneSerif"/>
          <w:color w:val="292526"/>
          <w:sz w:val="18"/>
          <w:szCs w:val="18"/>
        </w:rPr>
        <w:t>. Les huiles végétales étant de riches sources d'acide linoléique, ce niveau peut être atteint en incluant deux cuillères à café par jour d'huile végétale dans le régime alimentaire. Les graisses sont la source d'énergie la plus concentrée. Le Food and Nutrition Board a fixé une fourchette acceptable de répartition des macronutriments (AMDR) pour les graisses d'au moins 20 % afin de prévenir la chute du cholestérol des lipoprotéines de haute densité (HDL) associée aux régimes à très faible teneur en graisses. Les lignes directrices du National Cholesterol Education Program recommandent que 25 à 35 % des calories du régime alimentaire proviennent des graisses. Le cholestérol est le principal constituant des membranes cellulaires et est synthétisé par l'organisme. La recommandation alimentaire quotidienne pour le cholestérol est inférieure à 300 mg.</w:t>
      </w:r>
    </w:p>
    <w:p w14:paraId="12714BE3" w14:textId="77777777" w:rsidR="00D24541" w:rsidRDefault="00D24541" w:rsidP="00D24541">
      <w:pPr>
        <w:spacing w:line="240" w:lineRule="auto"/>
        <w:ind w:firstLine="720"/>
        <w:jc w:val="both"/>
        <w:rPr>
          <w:rFonts w:ascii="StoneSerif" w:eastAsia="StoneSerif" w:hAnsi="StoneSerif" w:cs="StoneSerif"/>
          <w:color w:val="292526"/>
          <w:sz w:val="18"/>
          <w:szCs w:val="18"/>
        </w:rPr>
      </w:pPr>
    </w:p>
    <w:p w14:paraId="1F78F85E"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b/>
          <w:sz w:val="18"/>
          <w:szCs w:val="18"/>
        </w:rPr>
        <w:t>Digestion des lipides</w:t>
      </w:r>
      <w:r>
        <w:rPr>
          <w:rFonts w:ascii="Times New Roman" w:eastAsia="Times New Roman" w:hAnsi="Times New Roman" w:cs="Times New Roman"/>
          <w:sz w:val="18"/>
          <w:szCs w:val="18"/>
        </w:rPr>
        <w:t xml:space="preserve">. La consommation moyenne de graisses (beurre, huile, margarine, lait, viande, saucisses, œufs, noix, etc.) est d'environ 60 à 100 g/jour, mais les variations individuelles sont importantes (10 à 250 g/jour). La plupart des graisses présentes dans l'alimentation (90 %) sont des graisses neutres ou des triacylglycérols (triglycérides). Le reste est constitué de phospholipides, d'esters de cholestérol et de vitamines liposolubles (vitamines A, D, E et K). Plus de 95 % des lipides sont normalement absorbés dans l'intestin grêle.  Les lipides étant peu solubles dans l'eau, des mécanismes particuliers sont nécessaires pour leur digestion dans l'environnement aqueux du tractus gastro-intestinal et pour leur absorption et leur transport ultérieurs dans le plasma. Bien que de petites quantités de triacylglycérol non dégradé puissent être absorbées, les graisses alimentaires doivent être hydrolysées par des enzymes avant d'être efficacement absorbées. L'activité enzymatique optimale nécessite l'émulsification mécanique préalable des graisses (principalement dans l'estomac distal), car les gouttelettes lipidiques émulsifiées (1-2 μm) offrent une surface beaucoup plus grande (par rapport à la masse des graisses) pour les lipases. </w:t>
      </w:r>
      <w:r>
        <w:rPr>
          <w:rFonts w:ascii="Times New Roman" w:eastAsia="Times New Roman" w:hAnsi="Times New Roman" w:cs="Times New Roman"/>
          <w:i/>
          <w:sz w:val="18"/>
          <w:szCs w:val="18"/>
        </w:rPr>
        <w:t>Les lipases</w:t>
      </w:r>
      <w:r>
        <w:rPr>
          <w:rFonts w:ascii="Times New Roman" w:eastAsia="Times New Roman" w:hAnsi="Times New Roman" w:cs="Times New Roman"/>
          <w:sz w:val="18"/>
          <w:szCs w:val="18"/>
        </w:rPr>
        <w:t>, enzymes digérant les graisses, proviennent des glandes linguales, du fundus gastrique (cellules du chef et du collet muqueux) et du pancréas. Environ 10 à 30 % des graisses alimentaires sont hydrolysées dans l'estomac, tandis que les 70 à 90 % restants sont décomposés dans le duodénum et le jéjunum supérieur. Les lipases linguales et gastriques ont un pH optimal acide, tandis que la lipase pancréatique a un pH optimal de 7-8. Les lipases deviennent actives à l'interface graisse/huile et eau. La lipase pancréatique (</w:t>
      </w:r>
      <w:r>
        <w:rPr>
          <w:rFonts w:ascii="Times New Roman" w:eastAsia="Times New Roman" w:hAnsi="Times New Roman" w:cs="Times New Roman"/>
          <w:i/>
          <w:sz w:val="18"/>
          <w:szCs w:val="18"/>
        </w:rPr>
        <w:t>triacylglycérol hydrolase</w:t>
      </w:r>
      <w:r>
        <w:rPr>
          <w:rFonts w:ascii="Times New Roman" w:eastAsia="Times New Roman" w:hAnsi="Times New Roman" w:cs="Times New Roman"/>
          <w:sz w:val="18"/>
          <w:szCs w:val="18"/>
        </w:rPr>
        <w:t>) développe son activité lipolytique (max. 140 g de graisse/min) en présence de colipase et de Ca</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La pro-colipase du suc pancréatique donne de la colipase après avoir été activée par la trypsine. Dans la plupart des cas, les lipases pancréatiques scindent le triacylglycérol (TG) au niveau des liaisons ester 1</w:t>
      </w:r>
      <w:r>
        <w:rPr>
          <w:rFonts w:ascii="Times New Roman" w:eastAsia="Times New Roman" w:hAnsi="Times New Roman" w:cs="Times New Roman"/>
          <w:sz w:val="18"/>
          <w:szCs w:val="18"/>
          <w:vertAlign w:val="superscript"/>
        </w:rPr>
        <w:t>st</w:t>
      </w:r>
      <w:r>
        <w:rPr>
          <w:rFonts w:ascii="Times New Roman" w:eastAsia="Times New Roman" w:hAnsi="Times New Roman" w:cs="Times New Roman"/>
          <w:sz w:val="18"/>
          <w:szCs w:val="18"/>
        </w:rPr>
        <w:t xml:space="preserve"> et 3</w:t>
      </w:r>
      <w:r>
        <w:rPr>
          <w:rFonts w:ascii="Times New Roman" w:eastAsia="Times New Roman" w:hAnsi="Times New Roman" w:cs="Times New Roman"/>
          <w:sz w:val="18"/>
          <w:szCs w:val="18"/>
          <w:vertAlign w:val="superscript"/>
        </w:rPr>
        <w:t>rd</w:t>
      </w:r>
      <w:r>
        <w:rPr>
          <w:rFonts w:ascii="Times New Roman" w:eastAsia="Times New Roman" w:hAnsi="Times New Roman" w:cs="Times New Roman"/>
          <w:sz w:val="18"/>
          <w:szCs w:val="18"/>
        </w:rPr>
        <w:t xml:space="preserve"> .  Les excès de Ca</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 xml:space="preserve"> ou les déficiences en monoacylglycérol entraînent la conversion des acides gras en savons de calcium, qui sont ensuite excrétés.</w:t>
      </w:r>
    </w:p>
    <w:p w14:paraId="7EDCEAC3"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La </w:t>
      </w:r>
      <w:r>
        <w:rPr>
          <w:rFonts w:ascii="Times New Roman" w:eastAsia="Times New Roman" w:hAnsi="Times New Roman" w:cs="Times New Roman"/>
          <w:i/>
          <w:sz w:val="18"/>
          <w:szCs w:val="18"/>
        </w:rPr>
        <w:t>phospholipase A</w:t>
      </w:r>
      <w:r>
        <w:rPr>
          <w:rFonts w:ascii="Times New Roman" w:eastAsia="Times New Roman" w:hAnsi="Times New Roman" w:cs="Times New Roman"/>
          <w:i/>
          <w:sz w:val="18"/>
          <w:szCs w:val="18"/>
          <w:vertAlign w:val="subscript"/>
        </w:rPr>
        <w:t>2</w:t>
      </w:r>
      <w:r>
        <w:rPr>
          <w:rFonts w:ascii="Times New Roman" w:eastAsia="Times New Roman" w:hAnsi="Times New Roman" w:cs="Times New Roman"/>
          <w:sz w:val="18"/>
          <w:szCs w:val="18"/>
        </w:rPr>
        <w:t xml:space="preserve"> (issue de la pro-phospholipase A</w:t>
      </w:r>
      <w:r>
        <w:rPr>
          <w:rFonts w:ascii="Times New Roman" w:eastAsia="Times New Roman" w:hAnsi="Times New Roman" w:cs="Times New Roman"/>
          <w:sz w:val="18"/>
          <w:szCs w:val="18"/>
          <w:vertAlign w:val="subscript"/>
        </w:rPr>
        <w:t xml:space="preserve">2 </w:t>
      </w:r>
      <w:r>
        <w:rPr>
          <w:rFonts w:ascii="Times New Roman" w:eastAsia="Times New Roman" w:hAnsi="Times New Roman" w:cs="Times New Roman"/>
          <w:sz w:val="18"/>
          <w:szCs w:val="18"/>
        </w:rPr>
        <w:t xml:space="preserve"> du suc pancréatique - activée par la trypsine) clive la liaison ester 2</w:t>
      </w:r>
      <w:r>
        <w:rPr>
          <w:rFonts w:ascii="Times New Roman" w:eastAsia="Times New Roman" w:hAnsi="Times New Roman" w:cs="Times New Roman"/>
          <w:sz w:val="18"/>
          <w:szCs w:val="18"/>
          <w:vertAlign w:val="superscript"/>
        </w:rPr>
        <w:t xml:space="preserve">nd </w:t>
      </w:r>
      <w:r>
        <w:rPr>
          <w:rFonts w:ascii="Times New Roman" w:eastAsia="Times New Roman" w:hAnsi="Times New Roman" w:cs="Times New Roman"/>
          <w:sz w:val="18"/>
          <w:szCs w:val="18"/>
        </w:rPr>
        <w:t xml:space="preserve"> des phospholipides (principalement la phosphatidylcholine = lécithine) contenus dans les micelles. La présence de sels biliaires et de Ca</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 xml:space="preserve"> est nécessaire à cette réaction. Une carboxylestérase non spécifique (lipase non spécifique = cholestérol ester hydrolase) présente dans les sécrétions pancréatiques agit également sur les esters de cholestérol des micelles ainsi que sur les trois liaisons ester des TG et les esters des vitamines A, D et E. Cette lipase est également présente dans le lait maternel (mais pas dans le lait de vache), de sorte que les enfants nourris au sein reçoivent l'enzyme digestive nécessaire pour décomposer les graisses du lait en même temps que le lait. L'enzyme étant sensible à la chaleur, la pasteurisation du lait humain réduit considérablement la capacité du nourrisson à digérer les graisses du lait. Les 2-monoacylglycérols, les acides gras libres à longue chaîne et d'autres lipides s'agrègent aux sels biliaires pour former spontanément des </w:t>
      </w:r>
      <w:r>
        <w:rPr>
          <w:rFonts w:ascii="Times New Roman" w:eastAsia="Times New Roman" w:hAnsi="Times New Roman" w:cs="Times New Roman"/>
          <w:i/>
          <w:sz w:val="18"/>
          <w:szCs w:val="18"/>
        </w:rPr>
        <w:t xml:space="preserve">micelles </w:t>
      </w:r>
      <w:r>
        <w:rPr>
          <w:rFonts w:ascii="Times New Roman" w:eastAsia="Times New Roman" w:hAnsi="Times New Roman" w:cs="Times New Roman"/>
          <w:sz w:val="18"/>
          <w:szCs w:val="18"/>
        </w:rPr>
        <w:t xml:space="preserve">dans l'intestin grêle. (Les acides gras à chaîne courte étant relativement polaires, ils peuvent être absorbés directement et ne nécessitent pas de sels biliaires ou de micelles). Les micelles n'ont qu'un diamètre d'environ 20 à </w:t>
      </w:r>
      <w:r>
        <w:rPr>
          <w:rFonts w:ascii="Times New Roman" w:eastAsia="Times New Roman" w:hAnsi="Times New Roman" w:cs="Times New Roman"/>
          <w:sz w:val="18"/>
          <w:szCs w:val="18"/>
        </w:rPr>
        <w:lastRenderedPageBreak/>
        <w:t>50 nm et leur rapport surface/volume est environ 50 fois supérieur à celui des gouttelettes lipidiques dans les émulsions. Elles permettent un contact étroit entre les produits de la digestion des graisses et la paroi de l'intestin grêle et sont donc essentielles pour l'absorption des lipides. La face polaire des substances impliquées (principalement les sels biliaires conjugués, le 2-monoacylglycérol et les phospholipides) est tournée vers le milieu aqueux, et la face non polaire est tournée vers l'intérieur de la micelle. Les lipides totalement apolaires (par exemple, les esters de cholestérol, les vitamines liposolubles et les poisons lipophiles) sont situés à l'intérieur des micelles. Ainsi, les lipides apolaires restent dans le milieu lipophile (continuum d'hydrocarbures) pendant tous ces processus jusqu'à ce qu'ils atteignent la membrane lipophile de la bordure en brosse de l'épithélium. Ils sont alors absorbés par les cellules de la muqueuse par dissolution dans la membrane ou par un mécanisme de transport passif (par exemple, les transporteurs dans le cas des acides gras libres). Bien que l'absorption des graisses soit terminée lorsque le chyme atteint l'extrémité du jéjunum, les sels biliaires libérés des micelles ne sont absorbés que dans l'iléon terminal, puis recyclés (circulation entérohépatique).</w:t>
      </w:r>
    </w:p>
    <w:p w14:paraId="7C273904" w14:textId="77777777" w:rsidR="00D24541" w:rsidRDefault="00D24541" w:rsidP="00D24541">
      <w:pPr>
        <w:spacing w:after="200"/>
        <w:ind w:firstLine="708"/>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Distribution et stockage des lipides. </w:t>
      </w:r>
      <w:r>
        <w:rPr>
          <w:rFonts w:ascii="Times New Roman" w:eastAsia="Times New Roman" w:hAnsi="Times New Roman" w:cs="Times New Roman"/>
          <w:sz w:val="18"/>
          <w:szCs w:val="18"/>
        </w:rPr>
        <w:t xml:space="preserve">Les lipides dans le sang sont transportés dans les lipoprotéines (LPs), qui sont des agrégats moléculaires (microémulsions) avec un noyau de lipides très hydrophobes tels que les triacylglycérols (TG) et les esters de cholestérol (CHO-esters) entourés d'une couche de lipides amphipathiques (phospholipides, cholestérol). Les LPs contiennent également plusieurs types de protéines, appelées </w:t>
      </w:r>
      <w:r>
        <w:rPr>
          <w:rFonts w:ascii="Times New Roman" w:eastAsia="Times New Roman" w:hAnsi="Times New Roman" w:cs="Times New Roman"/>
          <w:i/>
          <w:sz w:val="18"/>
          <w:szCs w:val="18"/>
        </w:rPr>
        <w:t>apolipoprotéines</w:t>
      </w:r>
      <w:r>
        <w:rPr>
          <w:rFonts w:ascii="Times New Roman" w:eastAsia="Times New Roman" w:hAnsi="Times New Roman" w:cs="Times New Roman"/>
          <w:sz w:val="18"/>
          <w:szCs w:val="18"/>
        </w:rPr>
        <w:t xml:space="preserve">. </w:t>
      </w:r>
    </w:p>
    <w:p w14:paraId="07C34A2A"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Les LPs se différencient par leur taille, leur densité, leur composition lipidique, leur site de synthèse et leur teneur en apolipoprotéines. </w:t>
      </w:r>
      <w:r>
        <w:rPr>
          <w:rFonts w:ascii="Times New Roman" w:eastAsia="Times New Roman" w:hAnsi="Times New Roman" w:cs="Times New Roman"/>
          <w:i/>
          <w:sz w:val="18"/>
          <w:szCs w:val="18"/>
        </w:rPr>
        <w:t xml:space="preserve">Les apolipoprotéines </w:t>
      </w:r>
      <w:r>
        <w:rPr>
          <w:rFonts w:ascii="Times New Roman" w:eastAsia="Times New Roman" w:hAnsi="Times New Roman" w:cs="Times New Roman"/>
          <w:sz w:val="18"/>
          <w:szCs w:val="18"/>
        </w:rPr>
        <w:t>(Apo) servent d'</w:t>
      </w:r>
      <w:r>
        <w:rPr>
          <w:rFonts w:ascii="Times New Roman" w:eastAsia="Times New Roman" w:hAnsi="Times New Roman" w:cs="Times New Roman"/>
          <w:i/>
          <w:sz w:val="18"/>
          <w:szCs w:val="18"/>
        </w:rPr>
        <w:t xml:space="preserve">éléments structurels </w:t>
      </w:r>
      <w:r>
        <w:rPr>
          <w:rFonts w:ascii="Times New Roman" w:eastAsia="Times New Roman" w:hAnsi="Times New Roman" w:cs="Times New Roman"/>
          <w:sz w:val="18"/>
          <w:szCs w:val="18"/>
        </w:rPr>
        <w:t xml:space="preserve">des LPs (par exemple ApoAII et ApoB48), de </w:t>
      </w:r>
      <w:r>
        <w:rPr>
          <w:rFonts w:ascii="Times New Roman" w:eastAsia="Times New Roman" w:hAnsi="Times New Roman" w:cs="Times New Roman"/>
          <w:i/>
          <w:sz w:val="18"/>
          <w:szCs w:val="18"/>
        </w:rPr>
        <w:t xml:space="preserve">ligands </w:t>
      </w:r>
      <w:r>
        <w:rPr>
          <w:rFonts w:ascii="Times New Roman" w:eastAsia="Times New Roman" w:hAnsi="Times New Roman" w:cs="Times New Roman"/>
          <w:sz w:val="18"/>
          <w:szCs w:val="18"/>
        </w:rPr>
        <w:t>(ApoB100, ApoE, etc.) pour les récepteurs des LPs sur les membranes des cellules cibles des LPs, et d'</w:t>
      </w:r>
      <w:r>
        <w:rPr>
          <w:rFonts w:ascii="Times New Roman" w:eastAsia="Times New Roman" w:hAnsi="Times New Roman" w:cs="Times New Roman"/>
          <w:i/>
          <w:sz w:val="18"/>
          <w:szCs w:val="18"/>
        </w:rPr>
        <w:t xml:space="preserve">activateurs enzymatiques </w:t>
      </w:r>
      <w:r>
        <w:rPr>
          <w:rFonts w:ascii="Times New Roman" w:eastAsia="Times New Roman" w:hAnsi="Times New Roman" w:cs="Times New Roman"/>
          <w:sz w:val="18"/>
          <w:szCs w:val="18"/>
        </w:rPr>
        <w:t>(par exemple ApoAI et ApoCII).</w:t>
      </w:r>
    </w:p>
    <w:p w14:paraId="6A00DC89"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Les </w:t>
      </w:r>
      <w:r>
        <w:rPr>
          <w:rFonts w:ascii="Times New Roman" w:eastAsia="Times New Roman" w:hAnsi="Times New Roman" w:cs="Times New Roman"/>
          <w:i/>
          <w:sz w:val="18"/>
          <w:szCs w:val="18"/>
        </w:rPr>
        <w:t xml:space="preserve">chylomicrons </w:t>
      </w:r>
      <w:r>
        <w:rPr>
          <w:rFonts w:ascii="Times New Roman" w:eastAsia="Times New Roman" w:hAnsi="Times New Roman" w:cs="Times New Roman"/>
          <w:sz w:val="18"/>
          <w:szCs w:val="18"/>
        </w:rPr>
        <w:t xml:space="preserve">transportent les lipides (principalement le triacylglycérol, TG) de l'intestin vers la périphérie (via la lymphe intestinale et la circulation systémique), où leur </w:t>
      </w:r>
      <w:r>
        <w:rPr>
          <w:rFonts w:ascii="Times New Roman" w:eastAsia="Times New Roman" w:hAnsi="Times New Roman" w:cs="Times New Roman"/>
          <w:i/>
          <w:sz w:val="18"/>
          <w:szCs w:val="18"/>
        </w:rPr>
        <w:t xml:space="preserve">Apo CII </w:t>
      </w:r>
      <w:r>
        <w:rPr>
          <w:rFonts w:ascii="Times New Roman" w:eastAsia="Times New Roman" w:hAnsi="Times New Roman" w:cs="Times New Roman"/>
          <w:sz w:val="18"/>
          <w:szCs w:val="18"/>
        </w:rPr>
        <w:t xml:space="preserve">active la </w:t>
      </w:r>
      <w:r>
        <w:rPr>
          <w:rFonts w:ascii="Times New Roman" w:eastAsia="Times New Roman" w:hAnsi="Times New Roman" w:cs="Times New Roman"/>
          <w:i/>
          <w:sz w:val="18"/>
          <w:szCs w:val="18"/>
        </w:rPr>
        <w:t xml:space="preserve">lipoprotéine lipase </w:t>
      </w:r>
      <w:r>
        <w:rPr>
          <w:rFonts w:ascii="Times New Roman" w:eastAsia="Times New Roman" w:hAnsi="Times New Roman" w:cs="Times New Roman"/>
          <w:sz w:val="18"/>
          <w:szCs w:val="18"/>
        </w:rPr>
        <w:t xml:space="preserve">(LPL) </w:t>
      </w:r>
      <w:r>
        <w:rPr>
          <w:rFonts w:ascii="Times New Roman" w:eastAsia="Times New Roman" w:hAnsi="Times New Roman" w:cs="Times New Roman"/>
          <w:i/>
          <w:sz w:val="18"/>
          <w:szCs w:val="18"/>
        </w:rPr>
        <w:t>endothéliale</w:t>
      </w:r>
      <w:r>
        <w:rPr>
          <w:rFonts w:ascii="Times New Roman" w:eastAsia="Times New Roman" w:hAnsi="Times New Roman" w:cs="Times New Roman"/>
          <w:sz w:val="18"/>
          <w:szCs w:val="18"/>
        </w:rPr>
        <w:t xml:space="preserve">, qui sépare les AGF des TG. Les AGL sont principalement absorbés par les myocytes et les cellules adipeuses. Avec l'aide de l'ApoE, les restes de chylomicrons délivrent le reste de leur charge en TG, cholestérol et esters de cholestérol aux hépatocytes par endocytose médiée par les récepteurs. Le cholestérol (CHO) et les TG importés de l'intestin et nouvellement synthétisés dans le foie sont exportés dans les </w:t>
      </w:r>
      <w:r>
        <w:rPr>
          <w:rFonts w:ascii="Times New Roman" w:eastAsia="Times New Roman" w:hAnsi="Times New Roman" w:cs="Times New Roman"/>
          <w:i/>
          <w:sz w:val="18"/>
          <w:szCs w:val="18"/>
        </w:rPr>
        <w:t xml:space="preserve">VLDL (lipoprotéines de très faible densité) </w:t>
      </w:r>
      <w:r>
        <w:rPr>
          <w:rFonts w:ascii="Times New Roman" w:eastAsia="Times New Roman" w:hAnsi="Times New Roman" w:cs="Times New Roman"/>
          <w:sz w:val="18"/>
          <w:szCs w:val="18"/>
        </w:rPr>
        <w:t xml:space="preserve">du foie vers la périphérie, où ils activent également la LPL par l'intermédiaire de leur ApoCII, ce qui entraîne la libération d'AGF. Il en résulte une perte d'ApoCII et l'exposition de l'ApoE. Les </w:t>
      </w:r>
      <w:r>
        <w:rPr>
          <w:rFonts w:ascii="Times New Roman" w:eastAsia="Times New Roman" w:hAnsi="Times New Roman" w:cs="Times New Roman"/>
          <w:i/>
          <w:sz w:val="18"/>
          <w:szCs w:val="18"/>
        </w:rPr>
        <w:t xml:space="preserve">restes de VLDL </w:t>
      </w:r>
      <w:r>
        <w:rPr>
          <w:rFonts w:ascii="Times New Roman" w:eastAsia="Times New Roman" w:hAnsi="Times New Roman" w:cs="Times New Roman"/>
          <w:sz w:val="18"/>
          <w:szCs w:val="18"/>
        </w:rPr>
        <w:t xml:space="preserve">ou </w:t>
      </w:r>
      <w:r>
        <w:rPr>
          <w:rFonts w:ascii="Times New Roman" w:eastAsia="Times New Roman" w:hAnsi="Times New Roman" w:cs="Times New Roman"/>
          <w:i/>
          <w:sz w:val="18"/>
          <w:szCs w:val="18"/>
        </w:rPr>
        <w:t xml:space="preserve">IDL </w:t>
      </w:r>
      <w:r>
        <w:rPr>
          <w:rFonts w:ascii="Times New Roman" w:eastAsia="Times New Roman" w:hAnsi="Times New Roman" w:cs="Times New Roman"/>
          <w:sz w:val="18"/>
          <w:szCs w:val="18"/>
        </w:rPr>
        <w:t>(</w:t>
      </w:r>
      <w:r>
        <w:rPr>
          <w:rFonts w:ascii="Times New Roman" w:eastAsia="Times New Roman" w:hAnsi="Times New Roman" w:cs="Times New Roman"/>
          <w:i/>
          <w:sz w:val="18"/>
          <w:szCs w:val="18"/>
        </w:rPr>
        <w:t>lipoprotéines de densité intermédiaire</w:t>
      </w:r>
      <w:r>
        <w:rPr>
          <w:rFonts w:ascii="Times New Roman" w:eastAsia="Times New Roman" w:hAnsi="Times New Roman" w:cs="Times New Roman"/>
          <w:sz w:val="18"/>
          <w:szCs w:val="18"/>
        </w:rPr>
        <w:t xml:space="preserve">) subsistent. Environ 50 % des IDL retournent au foie (principalement liées par leur ApoE sur les récepteurs LDL) et sont retraitées et exportées du foie sous forme de VLDL. L'autre moitié des IDL est convertie en </w:t>
      </w:r>
      <w:r>
        <w:rPr>
          <w:rFonts w:ascii="Times New Roman" w:eastAsia="Times New Roman" w:hAnsi="Times New Roman" w:cs="Times New Roman"/>
          <w:i/>
          <w:sz w:val="18"/>
          <w:szCs w:val="18"/>
        </w:rPr>
        <w:t>LDL (lipoprotéine de basse densité</w:t>
      </w:r>
      <w:r>
        <w:rPr>
          <w:rFonts w:ascii="Times New Roman" w:eastAsia="Times New Roman" w:hAnsi="Times New Roman" w:cs="Times New Roman"/>
          <w:sz w:val="18"/>
          <w:szCs w:val="18"/>
        </w:rPr>
        <w:t xml:space="preserve">) après avoir été en contact avec la lipase hépatique (ce qui entraîne la perte de l'ApoE et l'exposition de l'ApoB100). Deux tiers des LDL délivrent leurs CHO et esters de CHO au foie, l'autre tiers transfère ses CHO aux tissus extra-hépatiques. La liaison de l'ApoB100 aux récepteurs des LDL est essentielle pour les deux processus. Les </w:t>
      </w:r>
      <w:r>
        <w:rPr>
          <w:rFonts w:ascii="Times New Roman" w:eastAsia="Times New Roman" w:hAnsi="Times New Roman" w:cs="Times New Roman"/>
          <w:i/>
          <w:sz w:val="18"/>
          <w:szCs w:val="18"/>
        </w:rPr>
        <w:t>lipoprotéines de haute densité (HDL</w:t>
      </w:r>
      <w:r>
        <w:rPr>
          <w:rFonts w:ascii="Times New Roman" w:eastAsia="Times New Roman" w:hAnsi="Times New Roman" w:cs="Times New Roman"/>
          <w:sz w:val="18"/>
          <w:szCs w:val="18"/>
        </w:rPr>
        <w:t>) échangent certaines apoprotéines avec les chylomicrons et les VLDL et absorbent les CHO superflus des cellules extrahépatiques et du sang. Grâce à leur ApoAI, elles activent l'enzyme plasmatique LCAT (lécithine-cholestérol acyltransférase), responsable de l'estérification partielle des CHO. Les HDL acheminent également le cholestérol et les esters de CHO vers le foie et les glandes productrices d'hormones stéroïdes dotées de récepteurs HDL (ovaires, testicules, cortex surrénalien).</w:t>
      </w:r>
    </w:p>
    <w:p w14:paraId="3E196536" w14:textId="77777777" w:rsidR="00D24541" w:rsidRDefault="00D24541" w:rsidP="00D24541">
      <w:pPr>
        <w:spacing w:after="200"/>
        <w:ind w:firstLine="708"/>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Triacylglycérol (TG). </w:t>
      </w:r>
      <w:r>
        <w:rPr>
          <w:rFonts w:ascii="Times New Roman" w:eastAsia="Times New Roman" w:hAnsi="Times New Roman" w:cs="Times New Roman"/>
          <w:sz w:val="18"/>
          <w:szCs w:val="18"/>
        </w:rPr>
        <w:t xml:space="preserve">Les TG alimentaires sont décomposés en acides gras libres (AGL) et en 2-monoacylglycérol (MG) dans le tractus gastro-intestinal. Les AGL à chaîne courte étant hydrosolubles, ils peuvent être absorbés et transportés vers le foie par la veine porte. Les AGF à longue chaîne et les 2-monoacylglycérols ne sont pas solubles dans l'eau. Ils sont resynthétisés en TG dans les cellules de la muqueuse. Les AGF nécessaires à la synthèse des TG sont transportés par des protéines liant les AGF depuis la membrane cellulaire jusqu'à leur site de synthèse, c'est-à-dire le réticulum endoplasmique lisse. Les TG n'étant pas solubles dans l'eau, ils sont ensuite chargés sur des </w:t>
      </w:r>
      <w:r>
        <w:rPr>
          <w:rFonts w:ascii="Times New Roman" w:eastAsia="Times New Roman" w:hAnsi="Times New Roman" w:cs="Times New Roman"/>
          <w:i/>
          <w:sz w:val="18"/>
          <w:szCs w:val="18"/>
        </w:rPr>
        <w:t>chylomicrons</w:t>
      </w:r>
      <w:r>
        <w:rPr>
          <w:rFonts w:ascii="Times New Roman" w:eastAsia="Times New Roman" w:hAnsi="Times New Roman" w:cs="Times New Roman"/>
          <w:sz w:val="18"/>
          <w:szCs w:val="18"/>
        </w:rPr>
        <w:t>, qui sont exocytés dans le liquide extracellulaire, puis transmis à la lymphe intestinale (contournant ainsi le foie), d'où ils atteignent finalement la grande circulation. (Le plasma devient trouble pendant environ 20 à 30 minutes après un repas gras en raison de sa teneur en chylomicrons). Le foie synthétise également des TG, en prélevant les AGL nécessaires dans le plasma ou en les synthétisant à partir du glucose. Les TG hépatiques sont chargés sur les VLDL et ensuite sécrétés dans le plasma. La capacité d'exportation de ce mécanisme étant limitée, un excès d'AGF ou de glucose peut entraîner une accumulation de TG dans le foie (stéatose hépatique).</w:t>
      </w:r>
    </w:p>
    <w:p w14:paraId="6F4CA29A"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Les </w:t>
      </w:r>
      <w:r>
        <w:rPr>
          <w:rFonts w:ascii="Times New Roman" w:eastAsia="Times New Roman" w:hAnsi="Times New Roman" w:cs="Times New Roman"/>
          <w:b/>
          <w:i/>
          <w:sz w:val="18"/>
          <w:szCs w:val="18"/>
        </w:rPr>
        <w:t xml:space="preserve">acides gras libres (AGL) </w:t>
      </w:r>
      <w:r>
        <w:rPr>
          <w:rFonts w:ascii="Times New Roman" w:eastAsia="Times New Roman" w:hAnsi="Times New Roman" w:cs="Times New Roman"/>
          <w:sz w:val="18"/>
          <w:szCs w:val="18"/>
        </w:rPr>
        <w:t xml:space="preserve">sont des substrats hautement énergétiques utilisés dans le métabolisme énergétique. Les acides gras circulant dans le sang sont principalement transportés sous forme de TG (dans les lipoprotéines) alors que les AGL plasmatiques sont complexés avec l'albumine. Les acides gras sont éliminés des TG des chylomicrons et des VLDL par la </w:t>
      </w:r>
      <w:r>
        <w:rPr>
          <w:rFonts w:ascii="Times New Roman" w:eastAsia="Times New Roman" w:hAnsi="Times New Roman" w:cs="Times New Roman"/>
          <w:i/>
          <w:sz w:val="18"/>
          <w:szCs w:val="18"/>
        </w:rPr>
        <w:t xml:space="preserve">lipoprotéine lipase </w:t>
      </w:r>
      <w:r>
        <w:rPr>
          <w:rFonts w:ascii="Times New Roman" w:eastAsia="Times New Roman" w:hAnsi="Times New Roman" w:cs="Times New Roman"/>
          <w:sz w:val="18"/>
          <w:szCs w:val="18"/>
        </w:rPr>
        <w:t xml:space="preserve">(LPL) localisée sur la surface luminale de l'endothélium capillaire de nombreux organes (principalement dans le tissu adipeux et les muscles). L'ApoCII à la surface des TG et des VLDL active la LPL. L'insuline sécrétée après un repas induit la LPL, qui favorise la dégradation rapide des TG alimentaires réabsorbés. La LPL est également activée par l'héparine (provenant du tissu endothélial, des mastocytes, etc.), qui contribue à l'élimination des chylomicrons dans le plasma trouble ; elle est donc appelée </w:t>
      </w:r>
      <w:r>
        <w:rPr>
          <w:rFonts w:ascii="Times New Roman" w:eastAsia="Times New Roman" w:hAnsi="Times New Roman" w:cs="Times New Roman"/>
          <w:i/>
          <w:sz w:val="18"/>
          <w:szCs w:val="18"/>
        </w:rPr>
        <w:t>facteur de clairance</w:t>
      </w:r>
      <w:r>
        <w:rPr>
          <w:rFonts w:ascii="Times New Roman" w:eastAsia="Times New Roman" w:hAnsi="Times New Roman" w:cs="Times New Roman"/>
          <w:sz w:val="18"/>
          <w:szCs w:val="18"/>
        </w:rPr>
        <w:t>. Les AGF complexés par l'albumine dans le plasma sont principalement transportés vers les sites cibles suivants : 1) le muscle cardiaque, le muscle squelettique, les reins et d'autres organes, où ils sont oxydés en CO</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et H</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 xml:space="preserve"> O dans les mitochondries (oxydation) et utilisés comme source d'énergie ; 2) les cellules adipeuses, qui soit stockent les AGF, soit les utilisent pour synthétiser des TG. Lorsque les besoins énergétiques augmentent ou que l'apport diminue, les AGL sont séparés du triacylglycérol dans les cellules adipeuses </w:t>
      </w:r>
      <w:r>
        <w:rPr>
          <w:rFonts w:ascii="Times New Roman" w:eastAsia="Times New Roman" w:hAnsi="Times New Roman" w:cs="Times New Roman"/>
          <w:i/>
          <w:sz w:val="18"/>
          <w:szCs w:val="18"/>
        </w:rPr>
        <w:t>(lipolyse</w:t>
      </w:r>
      <w:r>
        <w:rPr>
          <w:rFonts w:ascii="Times New Roman" w:eastAsia="Times New Roman" w:hAnsi="Times New Roman" w:cs="Times New Roman"/>
          <w:sz w:val="18"/>
          <w:szCs w:val="18"/>
        </w:rPr>
        <w:t>) et transportés vers la zone où ils sont nécessaires. La lipolyse est stimulée par l'épinéphrine, le glucagon et le cortisol et inhibée par l'insuline ; 3) le foie, où les AGL sont oxydés ou utilisés pour synthétiser des TG.</w:t>
      </w:r>
    </w:p>
    <w:p w14:paraId="6A06F3EA" w14:textId="77777777" w:rsidR="00D24541" w:rsidRDefault="00D24541" w:rsidP="00D24541">
      <w:pPr>
        <w:spacing w:after="200"/>
        <w:ind w:firstLine="708"/>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Cholestérol (CHO). </w:t>
      </w:r>
      <w:r>
        <w:rPr>
          <w:rFonts w:ascii="Times New Roman" w:eastAsia="Times New Roman" w:hAnsi="Times New Roman" w:cs="Times New Roman"/>
          <w:sz w:val="18"/>
          <w:szCs w:val="18"/>
        </w:rPr>
        <w:t xml:space="preserve">Les esters de cholestérol (CHO-esters), comme les TG, sont des lipides apolaires. Dans le milieu aqueux de l'organisme, ils ne peuvent être transportés qu'incorporés dans des lipoprotéines (ou liés à des protéines) et ne peuvent être utilisés pour le métabolisme qu'après </w:t>
      </w:r>
      <w:r>
        <w:rPr>
          <w:rFonts w:ascii="Times New Roman" w:eastAsia="Times New Roman" w:hAnsi="Times New Roman" w:cs="Times New Roman"/>
          <w:sz w:val="18"/>
          <w:szCs w:val="18"/>
        </w:rPr>
        <w:lastRenderedPageBreak/>
        <w:t>avoir été convertis en CHO, qui est plus polaire. Les esters de CHO servent de réserves et, dans certains cas, de forme transportée de CHO. Les esters de CHO sont présents dans toutes les lipoprotéines, mais c'est dans les LDL qu'ils sont les plus abondants (42 %).</w:t>
      </w:r>
    </w:p>
    <w:p w14:paraId="27C84F85"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Le cholestérol est un constituant important des membranes cellulaires. En outre, il est un précurseur des sels biliaires, de la vitamine D et des hormones stéroïdiennes. Chaque jour, environ 0,6 g de CHO est perdu dans les fèces (réduit en coprostérol) et dans la peau. La perte de sels biliaires s'élève à environ 0,5 g par jour. Ces pertes (moins l'apport alimentaire en CHO) doivent être compensées par une resynthèse continue de CHO dans le tractus intestinal et le foie. Les CHO apportés par l'alimentation sont absorbés en partie tels quels et en partie sous forme estérifiée. Avant d'être réabsorbés, les esters de CHO sont scindés par une carboxylestérase pancréatique non spécifique en CHO, qui est absorbé dans la partie supérieure de l'intestin grêle.  Les cellules de la muqueuse contiennent une enzyme qui réestérifie une partie du CHO absorbé : l'ACAT (acyl-CoA-cholestérol acyltransférase), de sorte que le cholestérol et les esters de CHO peuvent être intégrés dans les chylomicrons. Les CHO et les esters de CHO contenus dans les restes de chylomicrons (voir ci-dessus) sont transportés vers le foie, où les lipases acides lysosomales décomposent à nouveau les esters de CHO en CHO. Ce CHO et celui provenant d'autres sources (LDL, HDL) quittent le foie : 1. par excrétion dans la bile ; 2. par conversion en sels biliaires qui entrent également dans la bile ; 3. par incorporation dans les VLDL, la lipoprotéine hépatique pour l'exportation des lipides vers d'autres tissus. Sous l'influence de la LPL, les VLDL produisent des IDL et plus tard des LDL. Les LDL transportent les CHO et les esters de CHO vers les cellules dotées de récepteurs LDL (cellules hépatiques et extra-hépatiques). La densité des récepteurs à la surface des cellules est ajustée en fonction des besoins en CHO.</w:t>
      </w:r>
    </w:p>
    <w:p w14:paraId="4A9F704A" w14:textId="77777777" w:rsidR="00D24541" w:rsidRDefault="00D24541" w:rsidP="00D24541">
      <w:pPr>
        <w:spacing w:after="200"/>
        <w:ind w:firstLine="708"/>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Comme les cellules hépatiques (voir ci-dessus), les cellules extrahépatiques absorbent les LDL par endocytose médiée par les récepteurs, et les lipases acides lysosomales réduisent les esters de CHO en CHO. Les cellules peuvent alors insérer le CHO dans leurs membranes cellulaires ou l'utiliser pour la synthèse des stéroïdes. Un excès de cholestérol entraîne (a) l'inhibition de la synthèse de CHO dans les cellules (3-HMG-CoA-réductase) et (b) l'activation de l'ACAT, une enzyme qui estérifie et stocke le CHO sous forme d'ester.</w:t>
      </w:r>
    </w:p>
    <w:p w14:paraId="61A3B1F4" w14:textId="77777777" w:rsidR="00D24541" w:rsidRDefault="00D24541" w:rsidP="00D24541">
      <w:pPr>
        <w:spacing w:after="200"/>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Étiologie générale du déséquilibre métabolique des lipides</w:t>
      </w:r>
    </w:p>
    <w:p w14:paraId="5FEECD22"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Perturbations de l'apport en lipides </w:t>
      </w:r>
    </w:p>
    <w:p w14:paraId="674075F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Les lipides alimentaires disponibles sont : les </w:t>
      </w:r>
      <w:r>
        <w:rPr>
          <w:rFonts w:ascii="Times New Roman" w:eastAsia="Times New Roman" w:hAnsi="Times New Roman" w:cs="Times New Roman"/>
          <w:i/>
          <w:sz w:val="24"/>
          <w:szCs w:val="24"/>
        </w:rPr>
        <w:t xml:space="preserve">triglycérides </w:t>
      </w:r>
      <w:r>
        <w:rPr>
          <w:rFonts w:ascii="Times New Roman" w:eastAsia="Times New Roman" w:hAnsi="Times New Roman" w:cs="Times New Roman"/>
          <w:sz w:val="24"/>
          <w:szCs w:val="24"/>
        </w:rPr>
        <w:t xml:space="preserve">(lipides neutres), les </w:t>
      </w:r>
      <w:r>
        <w:rPr>
          <w:rFonts w:ascii="Times New Roman" w:eastAsia="Times New Roman" w:hAnsi="Times New Roman" w:cs="Times New Roman"/>
          <w:i/>
          <w:sz w:val="24"/>
          <w:szCs w:val="24"/>
        </w:rPr>
        <w:t xml:space="preserve">phospholipides, le cholestérol, les vitamines liposolubles </w:t>
      </w:r>
      <w:r>
        <w:rPr>
          <w:rFonts w:ascii="Times New Roman" w:eastAsia="Times New Roman" w:hAnsi="Times New Roman" w:cs="Times New Roman"/>
          <w:sz w:val="24"/>
          <w:szCs w:val="24"/>
        </w:rPr>
        <w:t xml:space="preserve">et les </w:t>
      </w:r>
      <w:r>
        <w:rPr>
          <w:rFonts w:ascii="Times New Roman" w:eastAsia="Times New Roman" w:hAnsi="Times New Roman" w:cs="Times New Roman"/>
          <w:i/>
          <w:sz w:val="24"/>
          <w:szCs w:val="24"/>
        </w:rPr>
        <w:t>lipoprotéines.</w:t>
      </w:r>
      <w:r>
        <w:rPr>
          <w:rFonts w:ascii="Times New Roman" w:eastAsia="Times New Roman" w:hAnsi="Times New Roman" w:cs="Times New Roman"/>
          <w:sz w:val="24"/>
          <w:szCs w:val="24"/>
        </w:rPr>
        <w:t xml:space="preserve"> À partir des triglycérides, on connaît les lipides animaux et les huiles végétales. Dans la composition des graisses animales, on trouve principalement des acides gras saturés. Dans la composition des huiles végétales, on trouve principalement des huiles mono- et poly-non saturées : acide oléinique, linolique, linolénique et arachidonique.</w:t>
      </w:r>
    </w:p>
    <w:p w14:paraId="2EFAF5D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 rôle biologique des lipides est principalement énergétique et plastique. Ils fournissent jusqu'à 40 % de l'énergie totale consommée par l'organisme. Le rôle plastique des lipides est dû au fait que les acides gras non saturés sont des éléments structurels des membranes biologiques, que le cholestérol sert de matière première pour la synthèse de nombreuses substances - acides biliaires, stéroïdes, prostaglandines et autres substances biologiques synthétisées à partir d'acides gras poly-non saturés. </w:t>
      </w:r>
    </w:p>
    <w:p w14:paraId="6CB6739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déficit alimentaire en lipides, bien que rare quantitativement, peut parfois se manifester par une carence partielle en différentes substances lipidiques. Le déficit en triglycérides est compensé à la fois par une substitution énergétique par d'autres substances (ex. hydrates de carbone) ou par une synthèse de novo de lipides (à partir de l'acétate). </w:t>
      </w:r>
    </w:p>
    <w:p w14:paraId="2E7DB8C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acides gras non saturés représentent des substances essentielles, car l'organisme est incapable de les synthétiser, c'est pourquoi leur apport alimentaire est indispensable. Les besoins quotidiens en acides gras non saturés sont de 6 g pour les adultes. Le déficit en acides gras non saturés se rencontre en cas de carence alimentaire en huile végétale et les manifestations de ce déficit dépendent du rôle biologique de ces substances dans l'organisme.  Ainsi, le déficit en acides gras non saturés au niveau de la membrane cytoplasmique, modifie les propriétés mécaniques de ces membranes, la viscosité et la fluidité, le métabolisme trans-membranaire, la diminution de la synthèse des prostaglandines. Les vitamines liposolubles A, D, E, K représentent également des substances essentielles ayant un rôle biologique important dans la régénération et la prolifération, dans le métabolisme phosphocalcique, le fonctionnement normal des systèmes antioxydants et de coagulation.</w:t>
      </w:r>
    </w:p>
    <w:p w14:paraId="2825ADD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consommation excessive de lipides a des effets digestifs et métaboliques. Les effets digestifs sont les suivants : augmentation de la sécrétion de bile, hyperkinésie de la vessie biliaire, augmentation de la sécrétion de suc pancréatique. L'absorption accrue de lipides provoque une </w:t>
      </w:r>
      <w:r>
        <w:rPr>
          <w:rFonts w:ascii="Times New Roman" w:eastAsia="Times New Roman" w:hAnsi="Times New Roman" w:cs="Times New Roman"/>
          <w:i/>
          <w:sz w:val="24"/>
          <w:szCs w:val="24"/>
        </w:rPr>
        <w:t>hyperlipidémie alimentaire</w:t>
      </w:r>
      <w:r>
        <w:rPr>
          <w:rFonts w:ascii="Times New Roman" w:eastAsia="Times New Roman" w:hAnsi="Times New Roman" w:cs="Times New Roman"/>
          <w:sz w:val="24"/>
          <w:szCs w:val="24"/>
        </w:rPr>
        <w:t>, c'est-à-dire une augmentation de la concentration de graisses dans le sang. Une hyperlipidémie persistante et fréquente a au moins deux effets : un dépôt accru de lipides dans le tissu adipeux (</w:t>
      </w:r>
      <w:r>
        <w:rPr>
          <w:rFonts w:ascii="Times New Roman" w:eastAsia="Times New Roman" w:hAnsi="Times New Roman" w:cs="Times New Roman"/>
          <w:i/>
          <w:sz w:val="24"/>
          <w:szCs w:val="24"/>
        </w:rPr>
        <w:t>obésité</w:t>
      </w:r>
      <w:r>
        <w:rPr>
          <w:rFonts w:ascii="Times New Roman" w:eastAsia="Times New Roman" w:hAnsi="Times New Roman" w:cs="Times New Roman"/>
          <w:sz w:val="24"/>
          <w:szCs w:val="24"/>
        </w:rPr>
        <w:t>) et une infiltration avec développement d'une dystrophie graisseuse dans les organes parenchymateux (foie, cœur, glandes sexuelles).</w:t>
      </w:r>
    </w:p>
    <w:p w14:paraId="488ACFE5"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Troubles de la digestion des lipides - </w:t>
      </w:r>
      <w:r>
        <w:rPr>
          <w:rFonts w:ascii="Times New Roman" w:eastAsia="Times New Roman" w:hAnsi="Times New Roman" w:cs="Times New Roman"/>
          <w:b/>
          <w:i/>
          <w:sz w:val="24"/>
          <w:szCs w:val="24"/>
        </w:rPr>
        <w:t>maldigestion des lipides</w:t>
      </w:r>
    </w:p>
    <w:p w14:paraId="1056664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 la quantité totale de lipides ingérés, 99 % sont des lipides neutres - triglycérides. Pour une absorption et une assimilation normales des lipides dans le tube digestif, les conditions suivantes sont obligatoires : présence d'acides biliaires nécessaires à l'émulsification des graisses, présence d'enzymes lipolytiques nécessaires à la dégradation des lipides, capacité de la muqueuse intestinale à absorber les produits de la lipolyse et capacité des entérocytes à resynthétiser les triglycérides et à former des chylomicrons. Ainsi, les causes les plus fréquentes des troubles de la digestion des lipides sont respectivement : l'insuffisance de la bile (respectivement l'insuffisance des acides biliaires), l'insuffisance de la lipase, les défauts et les lésions de l'entérocyte.</w:t>
      </w:r>
    </w:p>
    <w:p w14:paraId="5D9E5C5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acides biliaires synthétisés dans le foie à partir du cholestérol sont sécrétés dans le duodénum et représentent des substances amphypatiques aux propriétés hydrophobes et hydrophiles. Grâce à ces propriétés, les acides biliaires ont des propriétés détergentes - ils émulsifient les graisses, formant une suspension stable et fine dans l'eau. L'émulsification des lipides augmente considérablement la surface de contact avec la lipase, ce qui accroît la lipolyse. Les </w:t>
      </w:r>
      <w:r>
        <w:rPr>
          <w:rFonts w:ascii="Times New Roman" w:eastAsia="Times New Roman" w:hAnsi="Times New Roman" w:cs="Times New Roman"/>
          <w:i/>
          <w:sz w:val="24"/>
          <w:szCs w:val="24"/>
        </w:rPr>
        <w:t xml:space="preserve">micelles </w:t>
      </w:r>
      <w:r>
        <w:rPr>
          <w:rFonts w:ascii="Times New Roman" w:eastAsia="Times New Roman" w:hAnsi="Times New Roman" w:cs="Times New Roman"/>
          <w:sz w:val="24"/>
          <w:szCs w:val="24"/>
        </w:rPr>
        <w:t>sont une autre structure formée à partir d'acides biliaires et de lipides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Les micelles représentent une émulsion composée d'un plus grand nombre de petites gouttes (nanomètres) formées d'une couche monomoléculaire d'acides biliaires, de cholestérol, d'acides gras et de phospholipides. Pour cette raison, la suspension de micelles est transparente et les micelles les plus petites sont facilement absorbées par les cellules épithéliales de l'intestin. En cas de carence en acides biliaires dans le tractus gastro-intestinal, l'émulsification des lipides ne peut se faire aussi bien que la formation de micelles, ce qui nuit à la dégradation des lipides par la lipase pancréatique et au développement d'une maldigestion des graisses. </w:t>
      </w:r>
    </w:p>
    <w:p w14:paraId="1F49C92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maldigestion des lipides entraîne d'autres phénomènes pathologiques dans le tractus gastro-intestinal : stéatorrhée, maldigestion d'autres substances nutritives (protéines, sucres), formation de savon et troubles de l'absorption des minéraux.  La maldigestion des lipides entrave l'assimilation des vitamines liposolubles et du cholestérol, avec les conséquences suivantes : hypovitaminose, synthèse insuffisante des acides biliaires.</w:t>
      </w:r>
    </w:p>
    <w:p w14:paraId="6CB5C80F"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de l'absorption des lipides - malabsorption des lipides</w:t>
      </w:r>
    </w:p>
    <w:p w14:paraId="14C8D5D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Les troubles de l'absorption des graisses (malabsorption des graisses) peuvent être la conséquence d'une maldigestion des lipides, plus précisément d'une émulsification et d'une formation de micelles insuffisantes (les triglycérides ne sont absorbés que sous forme de micelles), d'une lipolyse insuffisante (seuls les mono- et diglycérides peuvent être absorbés), de processus pathologiques au niveau de l'épithélium intestinal (atrophie, inflammation).</w:t>
      </w:r>
    </w:p>
    <w:p w14:paraId="77BFA23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Sous l'action de la lipase pancréatique, les triglycérides sont décomposés en di- et monoglycérides (une petite quantité d'acides gras libres est également formée). Parmi ces produits de lipolyse, seuls les acides gras du lait dont la chaîne est plus courte que 10 carbones peuvent être directement absorbés dans le sang. Les mono- et diglycérides sont engloutis par les cellules épithéliales intestinales où ils sont soumis à la réestérification (resynthèse) des triglycérides. Ce processus peut être affecté en cas de lésions des entérocytes (entérite, atrophie, dystrophie), d'hypovitaminose A et B, de carence en glycérophosphate, d'inhibition de la phosphorilation </w:t>
      </w:r>
      <w:r>
        <w:rPr>
          <w:rFonts w:ascii="Times New Roman" w:eastAsia="Times New Roman" w:hAnsi="Times New Roman" w:cs="Times New Roman"/>
          <w:sz w:val="24"/>
          <w:szCs w:val="24"/>
        </w:rPr>
        <w:lastRenderedPageBreak/>
        <w:t xml:space="preserve">(intoxication à l'acide mono-iodinacétique), d'inhibition de la synthèse des phospholipides en l'absence de choline. Par la suite, les triglycérides resynthétisés dans l'entérocyte sont rassemblés en </w:t>
      </w:r>
      <w:r>
        <w:rPr>
          <w:rFonts w:ascii="Times New Roman" w:eastAsia="Times New Roman" w:hAnsi="Times New Roman" w:cs="Times New Roman"/>
          <w:i/>
          <w:sz w:val="24"/>
          <w:szCs w:val="24"/>
        </w:rPr>
        <w:t xml:space="preserve">chylomicrons </w:t>
      </w:r>
      <w:r>
        <w:rPr>
          <w:rFonts w:ascii="Times New Roman" w:eastAsia="Times New Roman" w:hAnsi="Times New Roman" w:cs="Times New Roman"/>
          <w:sz w:val="24"/>
          <w:szCs w:val="24"/>
        </w:rPr>
        <w:t>et sont libérés dans la lymphe, ce qui leur permet d'atteindre la circulation systémique.</w:t>
      </w:r>
    </w:p>
    <w:p w14:paraId="0DBE27E4"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Perturbations du métabolisme des lipides intermédiaires dans les troubles hépatiques</w:t>
      </w:r>
    </w:p>
    <w:p w14:paraId="530D137E"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Les fonctions hépatiques relatives au métabolisme des lipides sont à la fois anaboliques et cataboliques. Parmi les processus cataboliques, on remarque la lipolyse et l'oxydation des acides gras, tandis que parmi les processus anaboliques, on trouve la synthèse des acides gras, la lipogenèse, la biosynthèse du cholestérol, la synthèse des acides biliaires ainsi que la synthèse des phospholipides et des lipoprotéines. La teneur moyenne en lipides du foie est d'environ 1 % du poids de l'organe.</w:t>
      </w:r>
    </w:p>
    <w:p w14:paraId="37B1B56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L'insuffisance hépatique, causée par des troubles non métaboliques (inflammation, dystrophie et fibrose), entraîne des perturbations secondaires des fonctions métaboliques hépatiques, y compris des troubles du métabolisme des graisses. Parmi les principaux troubles lipidiques de l'insuffisance hépatique, on peut citer : l'incapacité à décomposer les lipides et le cholestérol et leur rétention dans le tissu hépatique provoquant une stéatose hépatique, une infiltration graisseuse et une dystrophie graisseuse ; l'incapacité à synthétiser les phospholipides, les lipoprotéines et les acides gras ; les perturbations des processus métaboliques des hydrates de carbone - troubles de la glycogénogenèse, diminution des réserves de glycogène dans le foie, cétogénèse. En résumé, les processus pathologiques se manifestent par une déplétion en glycogène, une acidose métabolique, une cétonémie, une infiltration graisseuse secondaire et une dystrophie graisseuse du foie.</w:t>
      </w:r>
    </w:p>
    <w:p w14:paraId="3789B23F" w14:textId="77777777" w:rsidR="00D24541" w:rsidRDefault="00D24541" w:rsidP="00D24541">
      <w:pPr>
        <w:numPr>
          <w:ilvl w:val="0"/>
          <w:numId w:val="2"/>
        </w:num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Perturbations endocriniennes</w:t>
      </w:r>
    </w:p>
    <w:p w14:paraId="3887F5B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Les troubles du métabolisme lipidique peuvent être la conséquence d'une carence en insuline, d'une hyposécrétion de thyroxine, d'une hypersécrétion de glucocorticoïdes.</w:t>
      </w:r>
    </w:p>
    <w:p w14:paraId="52E9B38F" w14:textId="77777777" w:rsidR="00D24541" w:rsidRDefault="00D24541" w:rsidP="00D24541">
      <w:pPr>
        <w:spacing w:after="200"/>
        <w:ind w:firstLine="708"/>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Hyperlipidémie</w:t>
      </w:r>
    </w:p>
    <w:p w14:paraId="6A9A657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w:t>
      </w:r>
      <w:r>
        <w:rPr>
          <w:rFonts w:ascii="Times New Roman" w:eastAsia="Times New Roman" w:hAnsi="Times New Roman" w:cs="Times New Roman"/>
          <w:i/>
          <w:sz w:val="24"/>
          <w:szCs w:val="24"/>
        </w:rPr>
        <w:t xml:space="preserve"> hyperlipidémie </w:t>
      </w:r>
      <w:r>
        <w:rPr>
          <w:rFonts w:ascii="Times New Roman" w:eastAsia="Times New Roman" w:hAnsi="Times New Roman" w:cs="Times New Roman"/>
          <w:sz w:val="24"/>
          <w:szCs w:val="24"/>
        </w:rPr>
        <w:t xml:space="preserve">se traduit par une augmentation de la concentration de lipides dans le sang. </w:t>
      </w:r>
    </w:p>
    <w:p w14:paraId="403465D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normolipidémie </w:t>
      </w:r>
      <w:r>
        <w:rPr>
          <w:rFonts w:ascii="Times New Roman" w:eastAsia="Times New Roman" w:hAnsi="Times New Roman" w:cs="Times New Roman"/>
          <w:sz w:val="24"/>
          <w:szCs w:val="24"/>
        </w:rPr>
        <w:t xml:space="preserve">représente une concentration constante de lipides ainsi qu'un spectre normal de lipides dans le sang. </w:t>
      </w:r>
    </w:p>
    <w:p w14:paraId="3534E05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quantité totale de lipides dans le sang représente 0,5±0,2%. Contrairement aux hydrates de carbone, l'homéostasie des lipides dans le sang n'est pas très stricte, leur concentration variant considérablement. De même, il n'y a pas de valeur critique pour la lipidémie, le plus important étant le spectre des lipides dans le sang, la durée de ces fluctuations et l'état des organes qui effectuent le métabolisme lipidique. D'un point de vue biochimique, les lipides sanguins sont représentés par les triglycérides, les acides gras non estérifiés, les acides gras à chaîne courte, les phospholipides et le cholestérol. Toutes ces substances sont transportées sous différentes formes, qui ont une signification biologique et biochimique. La caractéristique générale est que tous les produits lipidiques dans le sang sont associés à des protéines - les </w:t>
      </w:r>
      <w:r>
        <w:rPr>
          <w:rFonts w:ascii="Times New Roman" w:eastAsia="Times New Roman" w:hAnsi="Times New Roman" w:cs="Times New Roman"/>
          <w:i/>
          <w:sz w:val="24"/>
          <w:szCs w:val="24"/>
        </w:rPr>
        <w:t>lipoprotéines</w:t>
      </w:r>
      <w:r>
        <w:rPr>
          <w:rFonts w:ascii="Times New Roman" w:eastAsia="Times New Roman" w:hAnsi="Times New Roman" w:cs="Times New Roman"/>
          <w:sz w:val="24"/>
          <w:szCs w:val="24"/>
        </w:rPr>
        <w:t xml:space="preserve">. </w:t>
      </w:r>
    </w:p>
    <w:p w14:paraId="488F82F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fonction de leur forme de transport, les produits lipidiques dans le sang sont divisés en </w:t>
      </w:r>
      <w:r>
        <w:rPr>
          <w:rFonts w:ascii="Times New Roman" w:eastAsia="Times New Roman" w:hAnsi="Times New Roman" w:cs="Times New Roman"/>
          <w:i/>
          <w:sz w:val="24"/>
          <w:szCs w:val="24"/>
        </w:rPr>
        <w:t>chylomicrons, alpha-lipoprotéines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pré-bêta-lipoprotéines </w:t>
      </w:r>
      <w:r>
        <w:rPr>
          <w:rFonts w:ascii="Times New Roman" w:eastAsia="Times New Roman" w:hAnsi="Times New Roman" w:cs="Times New Roman"/>
          <w:sz w:val="24"/>
          <w:szCs w:val="24"/>
        </w:rPr>
        <w:t xml:space="preserve">et </w:t>
      </w:r>
      <w:r>
        <w:rPr>
          <w:rFonts w:ascii="Times New Roman" w:eastAsia="Times New Roman" w:hAnsi="Times New Roman" w:cs="Times New Roman"/>
          <w:i/>
          <w:sz w:val="24"/>
          <w:szCs w:val="24"/>
        </w:rPr>
        <w:t>bêta-lipoprotéines</w:t>
      </w:r>
      <w:r>
        <w:rPr>
          <w:rFonts w:ascii="Times New Roman" w:eastAsia="Times New Roman" w:hAnsi="Times New Roman" w:cs="Times New Roman"/>
          <w:sz w:val="24"/>
          <w:szCs w:val="24"/>
        </w:rPr>
        <w:t xml:space="preserve">. En fonction des substances lipidiques qui les composent (triglycérides, phospholipides, cholestérol, acides gras), les lipoprotéines ont une densité différente et, selon ce critère, elles sont divisées en </w:t>
      </w:r>
      <w:r>
        <w:rPr>
          <w:rFonts w:ascii="Times New Roman" w:eastAsia="Times New Roman" w:hAnsi="Times New Roman" w:cs="Times New Roman"/>
          <w:i/>
          <w:sz w:val="24"/>
          <w:szCs w:val="24"/>
        </w:rPr>
        <w:t xml:space="preserve">lipoprotéines de très faible densité, de faible densité, de haute densité </w:t>
      </w:r>
      <w:r>
        <w:rPr>
          <w:rFonts w:ascii="Times New Roman" w:eastAsia="Times New Roman" w:hAnsi="Times New Roman" w:cs="Times New Roman"/>
          <w:sz w:val="24"/>
          <w:szCs w:val="24"/>
        </w:rPr>
        <w:t xml:space="preserve">et de </w:t>
      </w:r>
      <w:r>
        <w:rPr>
          <w:rFonts w:ascii="Times New Roman" w:eastAsia="Times New Roman" w:hAnsi="Times New Roman" w:cs="Times New Roman"/>
          <w:i/>
          <w:sz w:val="24"/>
          <w:szCs w:val="24"/>
        </w:rPr>
        <w:t>très haute densité</w:t>
      </w:r>
      <w:r>
        <w:rPr>
          <w:rFonts w:ascii="Times New Roman" w:eastAsia="Times New Roman" w:hAnsi="Times New Roman" w:cs="Times New Roman"/>
          <w:sz w:val="24"/>
          <w:szCs w:val="24"/>
        </w:rPr>
        <w:t>. En d'autres termes, les formes de transport des lipides dans le sang sont les chylomicrons, les lipoprotéines de très faible densité (pré-bêta-lipoprotéines, VLDL), les lipoprotéines de faible densité (bêta-</w:t>
      </w:r>
      <w:r>
        <w:rPr>
          <w:rFonts w:ascii="Times New Roman" w:eastAsia="Times New Roman" w:hAnsi="Times New Roman" w:cs="Times New Roman"/>
          <w:sz w:val="24"/>
          <w:szCs w:val="24"/>
        </w:rPr>
        <w:lastRenderedPageBreak/>
        <w:t xml:space="preserve">lipoprotéines, LDL), les lipoprotéines de haute densité (alpha-lipoprotéines, HDL) et les lipoprotéines de très haute densité (acides gras en association avec de l'albumine, VHDL). </w:t>
      </w:r>
    </w:p>
    <w:p w14:paraId="44A0D06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chylomicrons </w:t>
      </w:r>
      <w:r>
        <w:rPr>
          <w:rFonts w:ascii="Times New Roman" w:eastAsia="Times New Roman" w:hAnsi="Times New Roman" w:cs="Times New Roman"/>
          <w:sz w:val="24"/>
          <w:szCs w:val="24"/>
        </w:rPr>
        <w:t xml:space="preserve">représentent la forme de transport des lipides exogènes du tube digestif vers les organes et sont formés de triglycérides directement absorbés dans l'intestin et de ceux qui sont resynthétisés dans l'entérocyte (88 %), de phospholipides (8 %), de cholestérol (4 %) et de protéines (1 %). Les chylomicrons ont une faible densité inférieure à 1,006 (environ 0,96). Les chylomicrons empruntent les voies suivantes : cellule épithéliale intestinale - lymphe du canal thoracique - veine cave supérieure - circulation pulmonaire - circulation systémique. Les chylomicrons présents dans le sang sont soumis à deux processus : la </w:t>
      </w:r>
      <w:r>
        <w:rPr>
          <w:rFonts w:ascii="Times New Roman" w:eastAsia="Times New Roman" w:hAnsi="Times New Roman" w:cs="Times New Roman"/>
          <w:i/>
          <w:sz w:val="24"/>
          <w:szCs w:val="24"/>
        </w:rPr>
        <w:t xml:space="preserve">lipopexie </w:t>
      </w:r>
      <w:r>
        <w:rPr>
          <w:rFonts w:ascii="Times New Roman" w:eastAsia="Times New Roman" w:hAnsi="Times New Roman" w:cs="Times New Roman"/>
          <w:sz w:val="24"/>
          <w:szCs w:val="24"/>
        </w:rPr>
        <w:t xml:space="preserve">et la </w:t>
      </w:r>
      <w:r>
        <w:rPr>
          <w:rFonts w:ascii="Times New Roman" w:eastAsia="Times New Roman" w:hAnsi="Times New Roman" w:cs="Times New Roman"/>
          <w:i/>
          <w:sz w:val="24"/>
          <w:szCs w:val="24"/>
        </w:rPr>
        <w:t>lipolyse</w:t>
      </w:r>
      <w:r>
        <w:rPr>
          <w:rFonts w:ascii="Times New Roman" w:eastAsia="Times New Roman" w:hAnsi="Times New Roman" w:cs="Times New Roman"/>
          <w:sz w:val="24"/>
          <w:szCs w:val="24"/>
        </w:rPr>
        <w:t xml:space="preserve">. La lipopexie représente le processus de fixation des lipides à la surface des cellules mésenchymateuses, en particulier dans les poumons. Le poumon représente donc la première barrière métabolique des lipides absorbés dans l'intestin. Parmi les autres organes qui fixent les chylomicrons, on peut citer le myocarde, le tissu adipeux, les cellules endothéliales vasculaires. Le deuxième processus consécutif à la lipopexie est la </w:t>
      </w:r>
      <w:r>
        <w:rPr>
          <w:rFonts w:ascii="Times New Roman" w:eastAsia="Times New Roman" w:hAnsi="Times New Roman" w:cs="Times New Roman"/>
          <w:i/>
          <w:sz w:val="24"/>
          <w:szCs w:val="24"/>
        </w:rPr>
        <w:t>lipolyse des chylomicrons</w:t>
      </w:r>
      <w:r>
        <w:rPr>
          <w:rFonts w:ascii="Times New Roman" w:eastAsia="Times New Roman" w:hAnsi="Times New Roman" w:cs="Times New Roman"/>
          <w:sz w:val="24"/>
          <w:szCs w:val="24"/>
        </w:rPr>
        <w:t>. La lipolyse est représentée par une rangée de processus consécutifs. Dans un premier temps, les chylomicrons stimulent les mastocytes et les cellules endothéliales qui sécrètent de l'héparine. L'héparine stimule la lipase des organes lipopectiques susmentionnés et les lipases décomposent à leur tour les lipides en acides gras non estérifiés. La présence de chylomicrons dans le sang rend le plasma sanguin opalescent, c'est pourquoi la lipoprotéine lipase qui décompose les chylomicrons sanguins est appelée "</w:t>
      </w:r>
      <w:r>
        <w:rPr>
          <w:rFonts w:ascii="Times New Roman" w:eastAsia="Times New Roman" w:hAnsi="Times New Roman" w:cs="Times New Roman"/>
          <w:i/>
          <w:sz w:val="24"/>
          <w:szCs w:val="24"/>
        </w:rPr>
        <w:t>facteur de clairance plasmatique</w:t>
      </w:r>
      <w:r>
        <w:rPr>
          <w:rFonts w:ascii="Times New Roman" w:eastAsia="Times New Roman" w:hAnsi="Times New Roman" w:cs="Times New Roman"/>
          <w:sz w:val="24"/>
          <w:szCs w:val="24"/>
        </w:rPr>
        <w:t xml:space="preserve">". Ainsi, les lipides des chylomicrons sont décomposés en acides gras qui sont transportés vers les tissus de stockage et de consommation. </w:t>
      </w:r>
    </w:p>
    <w:p w14:paraId="68686EA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lipoprotéines de très faible densité (lipoprotéines pré-bêta) (VLDL) </w:t>
      </w:r>
      <w:r>
        <w:rPr>
          <w:rFonts w:ascii="Times New Roman" w:eastAsia="Times New Roman" w:hAnsi="Times New Roman" w:cs="Times New Roman"/>
          <w:sz w:val="24"/>
          <w:szCs w:val="24"/>
        </w:rPr>
        <w:t xml:space="preserve">ont une dimension de 30 à 80 nm et une densité de 1 006 à 1 019. Elles sont constituées de triglycérides (50 %), de cholestérol (25 %) et de phospholipides (25 %). Les VLDL représentent la forme de transport des triglycérides endogènes synthétisés dans le foie vers d'autres organes de consommation - tissu adipeux, muscles, etc. Comme les VLDL sont également hydrolysées par la lipoprotéine lipase plasmatique et cytoplasmatique, les acides gras qui en résultent sont accessibles à tous les tissus pour la consommation. </w:t>
      </w:r>
    </w:p>
    <w:p w14:paraId="096A48C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Les lipoprotéines de faible densité (LDL) (bêta-lipoprotéines) </w:t>
      </w:r>
      <w:r>
        <w:rPr>
          <w:rFonts w:ascii="Times New Roman" w:eastAsia="Times New Roman" w:hAnsi="Times New Roman" w:cs="Times New Roman"/>
          <w:sz w:val="24"/>
          <w:szCs w:val="24"/>
        </w:rPr>
        <w:t xml:space="preserve">ont une densité de 1 019-1 063 et un diamètre de particules d'environ 20 nm. Elles se forment dans le sang à la suite de la libération de triglycérides des VLDL sous l'influence de la lipoprotéine lipase et représentent la forme de transport du cholestérol vers les organes. Les LDL sont composées de cholestérol (50 %), de phospholipides (40 %) et de triglycérides (10 %). Les substances entrant dans la composition des LDL sont utilisées par les organes consommateurs : les acides gras sont utilisés comme source d'énergie et le cholestérol pour le renouvellement des membranes plasmatiques, la synthèse des acides biliaires et des corticostéroïdes. </w:t>
      </w:r>
    </w:p>
    <w:p w14:paraId="4D76A5A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Les lipoprotéines de haute densité (alpha-lipoprotéines) (HDL) </w:t>
      </w:r>
      <w:r>
        <w:rPr>
          <w:rFonts w:ascii="Times New Roman" w:eastAsia="Times New Roman" w:hAnsi="Times New Roman" w:cs="Times New Roman"/>
          <w:sz w:val="24"/>
          <w:szCs w:val="24"/>
        </w:rPr>
        <w:t>ont une densité de 1,063-1,21 et un diamètre de 5-30 nm. Leur composition comprend principalement des phospholipides (50 %), du cholestérol (35 %) et des triglycérides (15 %). Les HDL sont synthétisées dans le foie sous forme de précurseurs et, dans le sang, elles s'enrichissent de cholestérol et se transforment de manière réversible en HDL. Ainsi, les HDL représentent la forme de transport des phospholipides vers les organes et celle de l'excès de cholestérol (cholestérol non utilisé) vers le foie où il est utilisé pour la synthèse des acides biliaires ou est éliminé de l'organisme.</w:t>
      </w:r>
    </w:p>
    <w:p w14:paraId="5BBEBE3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Les lipoprotéines de très haute densité (VHDL) </w:t>
      </w:r>
      <w:r>
        <w:rPr>
          <w:rFonts w:ascii="Times New Roman" w:eastAsia="Times New Roman" w:hAnsi="Times New Roman" w:cs="Times New Roman"/>
          <w:sz w:val="24"/>
          <w:szCs w:val="24"/>
        </w:rPr>
        <w:t xml:space="preserve">ont une densité élevée de 1,21 et sont constituées d'acides gras associés à de l'albumine plasmatique. Elles représentent la forme de transport des acides gras non estérifiés formés dans le tissu adipeux à la suite de la lipolyse et leur transport vers les organes de consommation. Bien que la concentration sanguine de VHDL ne soit que de 20 mg%, ce qui représente seulement 3% des lipides sanguins </w:t>
      </w:r>
      <w:r>
        <w:rPr>
          <w:rFonts w:ascii="Times New Roman" w:eastAsia="Times New Roman" w:hAnsi="Times New Roman" w:cs="Times New Roman"/>
          <w:sz w:val="24"/>
          <w:szCs w:val="24"/>
        </w:rPr>
        <w:lastRenderedPageBreak/>
        <w:t>totaux, en raison de leur métabolisme très intense, les VHDL assurent environ 80% des besoins énergétiques de l'organisme.</w:t>
      </w:r>
    </w:p>
    <w:p w14:paraId="3F93C15C" w14:textId="77777777" w:rsidR="00D24541" w:rsidRDefault="00D24541" w:rsidP="00D24541">
      <w:pPr>
        <w:tabs>
          <w:tab w:val="left" w:pos="1800"/>
        </w:tabs>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phospholipides </w:t>
      </w:r>
      <w:r>
        <w:rPr>
          <w:rFonts w:ascii="Times New Roman" w:eastAsia="Times New Roman" w:hAnsi="Times New Roman" w:cs="Times New Roman"/>
          <w:sz w:val="24"/>
          <w:szCs w:val="24"/>
        </w:rPr>
        <w:t xml:space="preserve">représentent le composé de glycérol, dans lequel deux groupes hydroxyle sont estérifiés par des acides gras, et le troisième groupe hydroxyle par un radical phosphate. Parmi les phospholipides, il convient de mentionner la choline, l'inositol, etc. Environ 3/4 des phospholipides du foie et des autres organes représentent des composés contenant de la </w:t>
      </w:r>
      <w:r>
        <w:rPr>
          <w:rFonts w:ascii="Times New Roman" w:eastAsia="Times New Roman" w:hAnsi="Times New Roman" w:cs="Times New Roman"/>
          <w:i/>
          <w:sz w:val="24"/>
          <w:szCs w:val="24"/>
        </w:rPr>
        <w:t xml:space="preserve">choline </w:t>
      </w:r>
      <w:r>
        <w:rPr>
          <w:rFonts w:ascii="Times New Roman" w:eastAsia="Times New Roman" w:hAnsi="Times New Roman" w:cs="Times New Roman"/>
          <w:sz w:val="24"/>
          <w:szCs w:val="24"/>
        </w:rPr>
        <w:t xml:space="preserve">et de l'éthanolamine, tandis que les autres phospholipides ne représentent que l'autre ¼ de la quantité totale. Les phospholipides sont les composés essentiels de la membrane cellulaire.  En raison de leurs propriétés amphypatiques (hydrophiles et hydrophobes), les molécules de phospholipides forment des couches bilipidiques (la partie hydrophile est orientée vers l'extérieur et la partie hydrophobe vers l'intérieur de la couche). La plus grande quantité de phospholipides de l'organisme se trouve dans les membranes cellulaires, si bien qu'une petite quantité seulement entre dans la composition des micelles ou des solutions. Les phospholipides en solution sont associés à des protéines, formant ainsi des </w:t>
      </w:r>
      <w:r>
        <w:rPr>
          <w:rFonts w:ascii="Times New Roman" w:eastAsia="Times New Roman" w:hAnsi="Times New Roman" w:cs="Times New Roman"/>
          <w:i/>
          <w:sz w:val="24"/>
          <w:szCs w:val="24"/>
        </w:rPr>
        <w:t>lipoprotéines</w:t>
      </w:r>
      <w:r>
        <w:rPr>
          <w:rFonts w:ascii="Times New Roman" w:eastAsia="Times New Roman" w:hAnsi="Times New Roman" w:cs="Times New Roman"/>
          <w:sz w:val="24"/>
          <w:szCs w:val="24"/>
        </w:rPr>
        <w:t xml:space="preserve">. Sous forme de lipoprotéines, les phospholipides sont transportés du réticulum endoplasmique, où ils sont synthétisés, vers la membrane cytoplasmique ou la membrane des organites cellulaires. La biosynthèse des phospholipides dans le foie répond aux besoins suivants : approvisionnement en diacylglycérides nécessaires à la synthèse des triglycérides (lipides neuraux) dans le foie, facilitation de la mobilisation des lipides à partir des hépatocytes, renouvellement des phospholipides et réparation des membranes cellulaires des hépatocytes, synthèse des phospholipides qui sont transportés dans le sang (alpha-lipoprotéines) vers d'autres organes.  La biosynthèse des phospholipides représente l'une des fonctions essentielles du foie, dont la perte entraîne de graves conséquences tant pour le foie que pour l'ensemble de l'organisme. Les mêmes conséquences peuvent être observées en cas d'incapacité congénitale du foie à synthétiser des protéines de transport, ce qui perturbe le transport sanguin normal du cholestérol et des phospholipides. </w:t>
      </w:r>
    </w:p>
    <w:p w14:paraId="226DB28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En ce qui concerne les lipides, contrairement aux glucides, il n'y a pas de diminution mais une augmentation de la concentration de lipides dans la circulation sanguine - l'</w:t>
      </w:r>
      <w:r>
        <w:rPr>
          <w:rFonts w:ascii="Times New Roman" w:eastAsia="Times New Roman" w:hAnsi="Times New Roman" w:cs="Times New Roman"/>
          <w:i/>
          <w:sz w:val="24"/>
          <w:szCs w:val="24"/>
        </w:rPr>
        <w:t>hyperlipidémie</w:t>
      </w:r>
      <w:r>
        <w:rPr>
          <w:rFonts w:ascii="Times New Roman" w:eastAsia="Times New Roman" w:hAnsi="Times New Roman" w:cs="Times New Roman"/>
          <w:sz w:val="24"/>
          <w:szCs w:val="24"/>
        </w:rPr>
        <w:t>. Les types d'hyperlipidémie sont différenciés en fonction de l'origine et de la composition chimique des lipides qui conditionnent cette hyperglycémie. Une augmentation des lipides sanguins peut concerner le cholestérol, les triglycérides ou les deux (</w:t>
      </w:r>
      <w:r>
        <w:rPr>
          <w:rFonts w:ascii="Times New Roman" w:eastAsia="Times New Roman" w:hAnsi="Times New Roman" w:cs="Times New Roman"/>
          <w:i/>
          <w:sz w:val="24"/>
          <w:szCs w:val="24"/>
        </w:rPr>
        <w:t xml:space="preserve">hypercholestérolémie, hypertriglycéridémie </w:t>
      </w:r>
      <w:r>
        <w:rPr>
          <w:rFonts w:ascii="Times New Roman" w:eastAsia="Times New Roman" w:hAnsi="Times New Roman" w:cs="Times New Roman"/>
          <w:sz w:val="24"/>
          <w:szCs w:val="24"/>
        </w:rPr>
        <w:t xml:space="preserve">ou </w:t>
      </w:r>
      <w:r>
        <w:rPr>
          <w:rFonts w:ascii="Times New Roman" w:eastAsia="Times New Roman" w:hAnsi="Times New Roman" w:cs="Times New Roman"/>
          <w:i/>
          <w:sz w:val="24"/>
          <w:szCs w:val="24"/>
        </w:rPr>
        <w:t>hyperlipidémie combinée</w:t>
      </w:r>
      <w:r>
        <w:rPr>
          <w:rFonts w:ascii="Times New Roman" w:eastAsia="Times New Roman" w:hAnsi="Times New Roman" w:cs="Times New Roman"/>
          <w:sz w:val="24"/>
          <w:szCs w:val="24"/>
        </w:rPr>
        <w:t>). L'</w:t>
      </w:r>
      <w:r>
        <w:rPr>
          <w:rFonts w:ascii="Times New Roman" w:eastAsia="Times New Roman" w:hAnsi="Times New Roman" w:cs="Times New Roman"/>
          <w:i/>
          <w:sz w:val="24"/>
          <w:szCs w:val="24"/>
        </w:rPr>
        <w:t xml:space="preserve">hyperlipoprotéinémie </w:t>
      </w:r>
      <w:r>
        <w:rPr>
          <w:rFonts w:ascii="Times New Roman" w:eastAsia="Times New Roman" w:hAnsi="Times New Roman" w:cs="Times New Roman"/>
          <w:sz w:val="24"/>
          <w:szCs w:val="24"/>
        </w:rPr>
        <w:t>est actuellement le terme générique.</w:t>
      </w:r>
    </w:p>
    <w:p w14:paraId="656793A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hyperlipidémie alimentaire </w:t>
      </w:r>
      <w:r>
        <w:rPr>
          <w:rFonts w:ascii="Times New Roman" w:eastAsia="Times New Roman" w:hAnsi="Times New Roman" w:cs="Times New Roman"/>
          <w:sz w:val="24"/>
          <w:szCs w:val="24"/>
        </w:rPr>
        <w:t xml:space="preserve">se développe 2 à 3 heures après l'ingestion de lipides, le maximum étant atteint après 4 à 6 heures et le retour à la valeur normale après environ 9 heures. L'hyperlipidémie alimentaire est conditionnée par l'absorption de lipides dans l'intestin et est représentée par des quantités élevées de chylomicrons synthétisés dans les cellules épithéliales intestinales au cours du processus de resynthèse des triglycérides et par les VLDL (pré-bêta-lipoprotéines resynthétisées dans le foie à partir des acides gras absorbés). L'hyperlipidémie entraîne une lipopexie - fixation des lipides des cellules pulmonaires, des macrophages et des cellules endothéliales. Pendant ce temps, les mastocytes et les basophiles libèrent de l'héparine qui active la lipoprotéine lipase. En conséquence, les triglycérides des chylomicrons et des pré-bêta-lipoprotéines sont transformés en acides gras non estérifiés, qui sont fixés et transportés par les albumines plasmatiques.  Finalement, les acides gras sont utilisés par les organes de consommation - le foie et le tissu adipeux, qui re-synthétisent les triglycérides, par le myocarde et les muscles squelettiques qui utilisent respectivement 0,8 et 0,1 meq d'acides gras par 100 grammes de tissu et par heure. L'hyperlipidémie alimentaire est amplifiée par le blocage du système macrophagique, par la splénectomie, par la diminution des processus lipopectiques dans le foie (fibrose, parenchyme réduit). A noter que l'excès alimentaire de NaCl inhibe la lipoprotéine lipase plasmatique, ce qui maintient l'hyperlipidémie alimentaire pendant une longue période. L'hyperlipidémie peut être le résultat d'un </w:t>
      </w:r>
      <w:r>
        <w:rPr>
          <w:rFonts w:ascii="Times New Roman" w:eastAsia="Times New Roman" w:hAnsi="Times New Roman" w:cs="Times New Roman"/>
          <w:sz w:val="24"/>
          <w:szCs w:val="24"/>
        </w:rPr>
        <w:lastRenderedPageBreak/>
        <w:t>apport excessif non seulement de lipides mais aussi d'hydrates de carbone, dont les quantités dépassent la capacité anabolique du foie et des muscles, et les hydrates de carbone non utilisés sont soumis à la lipogenèse. L'alcool, qui est un substrat pour la synthèse des acides gras, peut également induire une hyperlipidémie.</w:t>
      </w:r>
    </w:p>
    <w:p w14:paraId="5199467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hyperlipidémie de transport </w:t>
      </w:r>
      <w:r>
        <w:rPr>
          <w:rFonts w:ascii="Times New Roman" w:eastAsia="Times New Roman" w:hAnsi="Times New Roman" w:cs="Times New Roman"/>
          <w:sz w:val="24"/>
          <w:szCs w:val="24"/>
        </w:rPr>
        <w:t xml:space="preserve">représente la mobilisation des réserves de lipides du tissu adipeux et leur transport vers les organes de consommation. La lipolyse dans le tissu adipeux est déclenchée par la diminution des réserves de glycogène dans le foie, l'inanition, l'hypersécrétion de catécholamines lors de l'excitation du système nerveux sympathique, l'hypersécrétion d'ACTH et de glucocorticoïdes lors de la réaction de stress, l'hypersécrétion de thyroxine, l'effort physique etc... Le résultat de la lipolyse est la libération d'acides gras non estérifiés qui se fixent sur les albumines plasmatiques. Ainsi, l'hyperlipidémie de transport est représentée par une augmentation du taux plasmatique de VHDL. Les acides gras non saturés sont transportés avec le sang vers le foie, où ils sont transformés en triglycérides et en cholestérol, vers le myocarde et les muscles squelettiques où ils sont utilisés comme ressources énergétiques. </w:t>
      </w:r>
    </w:p>
    <w:p w14:paraId="0031FFC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hyperlipidémie de rétention </w:t>
      </w:r>
      <w:r>
        <w:rPr>
          <w:rFonts w:ascii="Times New Roman" w:eastAsia="Times New Roman" w:hAnsi="Times New Roman" w:cs="Times New Roman"/>
          <w:sz w:val="24"/>
          <w:szCs w:val="24"/>
        </w:rPr>
        <w:t xml:space="preserve">représente la persistance à long terme de lipides dans le sang, lorsque la capacité des organes à les métaboliser est diminuée. Dans l'athérosclérose, la réactivité de la lipoprotéine lipase à l'héparine est réduite, ce qui inhibe la lipolyse. Dans le syndrome néphritique, l'albuminurie entraîne une diminution de la concentration d'albumine dans le sang et une diminution des capacités lipopectiques et lipolytiques du plasma (l'hypoprotéinémie inhibe la lipolyse en raison d'une diminution de l'absorption et de la fixation des triglycérides sur les récepteurs cellulaires spécifiques des cellules endothéliales et d'autres cellules d'origine mésenchymateuse ou parenchymateuse). En cas de néphrose, la capacité lipolytique des reins est inhibée, ce qui contribue également à la persistance de l'hyperlipidémie. Dans le diabète sucré, la carence en insuline entraîne une réduction de la glycogénogenèse et des réserves de glycogène dans le foie, ce qui déclenche la lipolyse dans le tissu adipeux. Ce processus est amplifié par le fait que l'insuline elle-même antagonise la lipolyse. Ainsi, l'hyperlipidémie initialement présente et conditionnée par une diminution de la lipolyse est complétée par une hyperlipidémie de transport déclenchée par une carence en insuline. Celles-ci conduisent à une synthèse excessive dans le foie des triglycérides sous forme d'acides gras présents dans le plasma sanguin, conduisant finalement à une infiltration graisseuse de l'organe. En raison de la diminution de la concentration d'insuline, le cycle du phosphogluconate de glucose et du NADPH est déficient et il est impossible de resynthétiser les acides gras. Dans ces conditions, l'excédent d'acétyl-KoA, inutilisé dans la synthèse des acides gras, est utilisé pour la synthèse des corps cétoniques - </w:t>
      </w:r>
      <w:r>
        <w:rPr>
          <w:rFonts w:ascii="Times New Roman" w:eastAsia="Times New Roman" w:hAnsi="Times New Roman" w:cs="Times New Roman"/>
          <w:i/>
          <w:sz w:val="24"/>
          <w:szCs w:val="24"/>
        </w:rPr>
        <w:t xml:space="preserve">cétogenèse </w:t>
      </w:r>
      <w:r>
        <w:rPr>
          <w:rFonts w:ascii="Times New Roman" w:eastAsia="Times New Roman" w:hAnsi="Times New Roman" w:cs="Times New Roman"/>
          <w:sz w:val="24"/>
          <w:szCs w:val="24"/>
        </w:rPr>
        <w:t xml:space="preserve">avec </w:t>
      </w:r>
      <w:r>
        <w:rPr>
          <w:rFonts w:ascii="Times New Roman" w:eastAsia="Times New Roman" w:hAnsi="Times New Roman" w:cs="Times New Roman"/>
          <w:i/>
          <w:sz w:val="24"/>
          <w:szCs w:val="24"/>
        </w:rPr>
        <w:t xml:space="preserve">cétonémie </w:t>
      </w:r>
      <w:r>
        <w:rPr>
          <w:rFonts w:ascii="Times New Roman" w:eastAsia="Times New Roman" w:hAnsi="Times New Roman" w:cs="Times New Roman"/>
          <w:sz w:val="24"/>
          <w:szCs w:val="24"/>
        </w:rPr>
        <w:t xml:space="preserve">et </w:t>
      </w:r>
      <w:r>
        <w:rPr>
          <w:rFonts w:ascii="Times New Roman" w:eastAsia="Times New Roman" w:hAnsi="Times New Roman" w:cs="Times New Roman"/>
          <w:i/>
          <w:sz w:val="24"/>
          <w:szCs w:val="24"/>
        </w:rPr>
        <w:t>cétonurie</w:t>
      </w:r>
      <w:r>
        <w:rPr>
          <w:rFonts w:ascii="Times New Roman" w:eastAsia="Times New Roman" w:hAnsi="Times New Roman" w:cs="Times New Roman"/>
          <w:sz w:val="24"/>
          <w:szCs w:val="24"/>
        </w:rPr>
        <w:t xml:space="preserve">. Dans l'athérosclérose, l'hyperlipidémie est une conséquence de l'inhibition de l'héparine et, finalement, de l'inhibition de la lipoprotéine lipase. </w:t>
      </w:r>
    </w:p>
    <w:p w14:paraId="192F45E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Hyperlipidémie congénitale </w:t>
      </w:r>
      <w:r>
        <w:rPr>
          <w:rFonts w:ascii="Times New Roman" w:eastAsia="Times New Roman" w:hAnsi="Times New Roman" w:cs="Times New Roman"/>
          <w:sz w:val="24"/>
          <w:szCs w:val="24"/>
        </w:rPr>
        <w:t xml:space="preserve">- représente un défaut génétique des enzymes impliquées dans le métabolisme des lipides. </w:t>
      </w:r>
    </w:p>
    <w:p w14:paraId="4598532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hyperlipidémie congénitale de type I </w:t>
      </w:r>
      <w:r>
        <w:rPr>
          <w:rFonts w:ascii="Times New Roman" w:eastAsia="Times New Roman" w:hAnsi="Times New Roman" w:cs="Times New Roman"/>
          <w:sz w:val="24"/>
          <w:szCs w:val="24"/>
        </w:rPr>
        <w:t>se caractérise par une absence de lipoprotéine lipase - enzyme qui décompose les triglycérides plasmatiques des chylomicrons et des pré-bêta-lipoprotéines (VLDL). Cela conduit à des niveaux élevés de lipides dans le sang avant même de manger et à une hyperlipidémie à long terme après l'ingestion de lipides. La présence de chylomicrons dans le sang (hyperchylomicronémie) entraîne un dépôt de lipides dans la peau (</w:t>
      </w:r>
      <w:r>
        <w:rPr>
          <w:rFonts w:ascii="Times New Roman" w:eastAsia="Times New Roman" w:hAnsi="Times New Roman" w:cs="Times New Roman"/>
          <w:i/>
          <w:sz w:val="24"/>
          <w:szCs w:val="24"/>
        </w:rPr>
        <w:t>xanthomes</w:t>
      </w:r>
      <w:r>
        <w:rPr>
          <w:rFonts w:ascii="Times New Roman" w:eastAsia="Times New Roman" w:hAnsi="Times New Roman" w:cs="Times New Roman"/>
          <w:sz w:val="24"/>
          <w:szCs w:val="24"/>
        </w:rPr>
        <w:t xml:space="preserve">), dans le foie et la rate (hépatosplénomégalie) et parfois dans le pancréas, avec les syndromes cliniques correspondants.  Comme les taux de cholestérol et de phospholipides dans le sang ne sont pas augmentés, l'hyperlipidémie de type I ne présente aucun risque d'athérosclérose. La restriction alimentaire des lipides et des hydrates de carbone peut améliorer les syndromes cliniques de ce type d'hyperlipidémie. </w:t>
      </w:r>
    </w:p>
    <w:p w14:paraId="7FBAF0E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L'</w:t>
      </w:r>
      <w:r>
        <w:rPr>
          <w:rFonts w:ascii="Times New Roman" w:eastAsia="Times New Roman" w:hAnsi="Times New Roman" w:cs="Times New Roman"/>
          <w:i/>
          <w:sz w:val="24"/>
          <w:szCs w:val="24"/>
        </w:rPr>
        <w:t xml:space="preserve">hyperlipidémie congénitale de type II </w:t>
      </w:r>
      <w:r>
        <w:rPr>
          <w:rFonts w:ascii="Times New Roman" w:eastAsia="Times New Roman" w:hAnsi="Times New Roman" w:cs="Times New Roman"/>
          <w:sz w:val="24"/>
          <w:szCs w:val="24"/>
        </w:rPr>
        <w:t>se caractérise par une augmentation du taux de cholestérol dans le sang, principalement sous forme de bêta-lipoprotéines (LDL). Elle se manifeste cliniquement par des dépôts de lipides (cholestérol) dans la peau, les tendons et les vaisseaux sanguins, même chez les jeunes. Dans ce type d'hyperlipidémie, le risque d'athérosclérose est très élevé. Le traitement consiste à réduire l'apport en cholestérol, à inhiber la synthèse du cholestérol endogène et à augmenter son élimination de l'organisme.</w:t>
      </w:r>
    </w:p>
    <w:p w14:paraId="41B8323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Hyperlipidémie congénitale de type III </w:t>
      </w:r>
      <w:r>
        <w:rPr>
          <w:rFonts w:ascii="Times New Roman" w:eastAsia="Times New Roman" w:hAnsi="Times New Roman" w:cs="Times New Roman"/>
          <w:sz w:val="24"/>
          <w:szCs w:val="24"/>
        </w:rPr>
        <w:t xml:space="preserve">- se manifeste par une augmentation du taux de triglycérides et de cholestérol dans le sang. Elle se manifeste cliniquement par une athérosclérose des artères coronaires et des artères périphériques et se rencontre surtout chez les adultes. </w:t>
      </w:r>
    </w:p>
    <w:p w14:paraId="526A7A36"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Hyperlipidémie de type IV </w:t>
      </w:r>
      <w:r>
        <w:rPr>
          <w:rFonts w:ascii="Times New Roman" w:eastAsia="Times New Roman" w:hAnsi="Times New Roman" w:cs="Times New Roman"/>
          <w:sz w:val="24"/>
          <w:szCs w:val="24"/>
        </w:rPr>
        <w:t xml:space="preserve">- concentration accrue de pré-bêta-lipoprotéines (VLDL) en même temps qu'une hyperlipidémie glucidique.  Ce type d'hyperlipidémie est également appelé </w:t>
      </w:r>
      <w:r>
        <w:rPr>
          <w:rFonts w:ascii="Times New Roman" w:eastAsia="Times New Roman" w:hAnsi="Times New Roman" w:cs="Times New Roman"/>
          <w:i/>
          <w:sz w:val="24"/>
          <w:szCs w:val="24"/>
        </w:rPr>
        <w:t>hyperlipidémie endogène</w:t>
      </w:r>
      <w:r>
        <w:rPr>
          <w:rFonts w:ascii="Times New Roman" w:eastAsia="Times New Roman" w:hAnsi="Times New Roman" w:cs="Times New Roman"/>
          <w:sz w:val="24"/>
          <w:szCs w:val="24"/>
        </w:rPr>
        <w:t xml:space="preserve">, car sa pathogénie est une augmentation de la synthèse hépatique des triglycérides à partir des hydrates de carbone alimentaires. Ce type d'hyperlipidémie se caractérise par une diminution de la tolérance au glucose. </w:t>
      </w:r>
    </w:p>
    <w:p w14:paraId="59DF3F7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Hyperlipidémie de type V </w:t>
      </w:r>
      <w:r>
        <w:rPr>
          <w:rFonts w:ascii="Times New Roman" w:eastAsia="Times New Roman" w:hAnsi="Times New Roman" w:cs="Times New Roman"/>
          <w:sz w:val="24"/>
          <w:szCs w:val="24"/>
        </w:rPr>
        <w:t>- il s'agit d'une combinaison d'hyper-triglycéridémie endogène et de triglycéridémie exogène avec des quantités élevées de cholestérol et de triacylglycérides. Ce type d'hyperlipidémie présente un risque élevé d'athérosclérose, de xantomatose, de pancréatite, de neuropathie, d'hyperuricémie et de diminution de la tolérance au glucose.</w:t>
      </w:r>
    </w:p>
    <w:p w14:paraId="64935807" w14:textId="77777777" w:rsidR="00D24541" w:rsidRDefault="00D24541" w:rsidP="00D24541">
      <w:pPr>
        <w:spacing w:after="200"/>
        <w:ind w:firstLine="708"/>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Hypercholestérolémie</w:t>
      </w:r>
    </w:p>
    <w:p w14:paraId="03A4F889"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Contrairement aux triglycérides, qui ne sont utilisés que comme ressources énergétiques, le cholestérol et ses esters sont des composés essentiels des membranes cellulaires et des précurseurs de la synthèse des acides biliaires, des hormones stéroïdes et de la vitamine D. Le métabolisme du cholestérol s'effectue dans le foie, la vésicule biliaire, l'intestin et le système de recirculation intrahépatique (foie-bile-intestin grêle-porta vena--foie). Le cholestérol alimentaire et les acides biliaires sont des composants des micelles dans l'intestin grêle, qui sont engloutis par les entérocytes où ils sont décomposés en triglycérides, acides biliaires et cholestérol. Les triacylglycérides et le cholestérol sont incorporés dans les chylomicrons et sont ainsi absorbés dans le sang portal. Il convient de préciser que l'absorption intestinale du cholestérol est limitée à une valeur maximale de 0,5 g par jour, l'excédent étant éliminé par les selles. Le cholestérol des chylomicrons est retenu par le foie, où il est converti en acides biliaires (processus prédominant) ou estérifié et, sous forme d'esters, incorporé à la membrane des hépatocytes (processus mineur). Les acides biliaires libérés dans les entérocytes à partir des micelles sont éliminés dans le sang, atteignent le foie et retournent dans la bile. Il convient de mentionner que les acides biliaires réabsorbés et renvoyés au foie ont un rôle négatif en retour, comme l'inhibition de la néo-synthèse des acides biliaires à partir du cholestérol. Ainsi, plus d'acides biliaires seront réabsorbés dans le sang et transportés vers le foie, moins de cholestérol sera utilisé pour leur synthèse et plus la quantité de cholestérol inutilisé sera importante. Au contraire, l'élimination intense des acides biliaires par les selles diminuera le cholestérol et imposera son utilisation intense pour la synthèse des acides biliaires, réduisant ainsi le stockage du cholestérol dans l'organisme. Ce principe de régulation du taux de cholestérol est utilisé dans la pratique médicale pour réduire la cholestérolémie et diminuer le risque d'athérosclérose avec la choléstiramine - substance qui forme avec les acides gras de l'intestin des composés non absorbés qui sont éliminés avec les fèces. Une autre source de cholestérol dans l'organisme est le cholestérol endogène synthétisé par la muqueuse intestinale et le foie à partir de l'</w:t>
      </w:r>
      <w:r>
        <w:rPr>
          <w:rFonts w:ascii="Times New Roman" w:eastAsia="Times New Roman" w:hAnsi="Times New Roman" w:cs="Times New Roman"/>
          <w:i/>
          <w:sz w:val="24"/>
          <w:szCs w:val="24"/>
        </w:rPr>
        <w:t xml:space="preserve">acétyl-KoA </w:t>
      </w:r>
      <w:r>
        <w:rPr>
          <w:rFonts w:ascii="Times New Roman" w:eastAsia="Times New Roman" w:hAnsi="Times New Roman" w:cs="Times New Roman"/>
          <w:sz w:val="24"/>
          <w:szCs w:val="24"/>
        </w:rPr>
        <w:t>(environ 2-4 g/jour). La somme du cholestérol hépatique (exogène et endogène) est éliminée dans le sang de deux manières : sous forme de bêta-lipoprotéines de faible densité (VLDL) et d'alpha-lipoprotéines de haute densité.</w:t>
      </w:r>
    </w:p>
    <w:p w14:paraId="6ADF5A2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Sur la quantité totale de cholestérol circulant, 70 % représentent des esters avec des acides gras insaturés et 30 % sont représentés par le cholestérol libre. Les esters de cholestérol avec des acides gras insaturés provenant des bêta-lipoprotéines (LDL) sont la forme spécifique habituelle de transport du cholestérol vers les organes périphériques, dont les cellules ont des récepteurs spéciaux pour ces complexes.  Les récepteurs membranaires sont un mécanisme clé du processus de dégradation du cholestérol. L'insuline et la thyroxine stimulent la synthèse des récepteurs et augmentent respectivement le métabolisme du cholestérol sanguin. Le cholestérol libre et l'AMPc inhibent la synthèse des récepteurs et diminuent respectivement leur métabolisme. Après s'être fixées aux récepteurs membranaires, les LDL (bêta-lipoprotéines) pénètrent dans les lysosomes des cellules, où elles sont décomposées en cholestérol libre, difficilement dissociable, qui représente un composant des alpha-lipoprotéines. Les alpha-lipoprotéines (HDL) ne contiennent que 20 % de cholestérol, ce qui représente une forme de conjugaison et un retour du cholestérol libre et inutilisé vers le foie, où il est sécrété avec la bile. Ces deux classes de lipides représentent donc un antagonisme métabolique : Les LDL (bêta-lipoprotéines) transportent le cholestérol du foie vers les organes, ce qui contribue à l'hypercholestérolémie et constitue un facteur athérogène, tandis que les HDL (alpha-lipoprotéines) transportent le cholestérol des organes vers le foie, ce qui entraîne une diminution de la concentration de cholestérol dans le sang et constitue donc un facteur non athérogène. </w:t>
      </w:r>
    </w:p>
    <w:p w14:paraId="1591DDA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b/>
          <w:sz w:val="24"/>
          <w:szCs w:val="24"/>
        </w:rPr>
        <w:t xml:space="preserve">hypercholestérolémie </w:t>
      </w:r>
      <w:r>
        <w:rPr>
          <w:rFonts w:ascii="Times New Roman" w:eastAsia="Times New Roman" w:hAnsi="Times New Roman" w:cs="Times New Roman"/>
          <w:sz w:val="24"/>
          <w:szCs w:val="24"/>
        </w:rPr>
        <w:t>correspond à une augmentation de la concentration de cholestérol dans le sang.</w:t>
      </w:r>
    </w:p>
    <w:p w14:paraId="17F17A6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résumé, l'hypercholestérolémie peut être le résultat final d'un apport excessif en cholestérol, d'une augmentation de la synthèse du cholestérol, d'une diminution de la synthèse des acides biliaires à partir du cholestérol, d'une diminution du nombre de récepteurs cellulaires pour les LDL, d'une diminution de la concentration des HDL (forme de transport du cholestérol vers le foie).</w:t>
      </w:r>
    </w:p>
    <w:p w14:paraId="25F2A63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Chez la plupart des patients souffrant d'</w:t>
      </w:r>
      <w:r>
        <w:rPr>
          <w:rFonts w:ascii="Times New Roman" w:eastAsia="Times New Roman" w:hAnsi="Times New Roman" w:cs="Times New Roman"/>
          <w:i/>
          <w:sz w:val="24"/>
          <w:szCs w:val="24"/>
        </w:rPr>
        <w:t xml:space="preserve">hypercholestérolémie </w:t>
      </w:r>
      <w:r>
        <w:rPr>
          <w:rFonts w:ascii="Times New Roman" w:eastAsia="Times New Roman" w:hAnsi="Times New Roman" w:cs="Times New Roman"/>
          <w:sz w:val="24"/>
          <w:szCs w:val="24"/>
        </w:rPr>
        <w:t>(&gt; 200-220 mg/dL de sérum), on observe une prévalence familiale accrue de l'affection, mais la cause reste inconnue (</w:t>
      </w:r>
      <w:r>
        <w:rPr>
          <w:rFonts w:ascii="Times New Roman" w:eastAsia="Times New Roman" w:hAnsi="Times New Roman" w:cs="Times New Roman"/>
          <w:i/>
          <w:sz w:val="24"/>
          <w:szCs w:val="24"/>
        </w:rPr>
        <w:t>hypercholestérolémie polygénique</w:t>
      </w:r>
      <w:r>
        <w:rPr>
          <w:rFonts w:ascii="Times New Roman" w:eastAsia="Times New Roman" w:hAnsi="Times New Roman" w:cs="Times New Roman"/>
          <w:sz w:val="24"/>
          <w:szCs w:val="24"/>
        </w:rPr>
        <w:t>). Toutefois, le surpoids et le régime alimentaire jouent un rôle important. Le cholestérol LDL peut être réduit principalement en privilégiant les graisses végétales (insaturées) dans l'alimentation. Les graisses animales (saturées), en revanche, augmentent la synthèse du cholestérol dans le foie et, par conséquent, réduisent la densité des récepteurs LDL, de sorte que la concentration de LDL riche en cholestérol dans le sérum augmente (cholestérol LDL &gt; 135 mg/dL). Il s'ensuit une augmentation de la liaison des LDL au récepteur scavenger qui assure l'incorporation du cholestérol dans les macrophages, la peau et les parois des vaisseaux. L'hypercholestérolémie est donc un facteur de risque d'athérosclérose et de maladie coronarienne.</w:t>
      </w:r>
    </w:p>
    <w:p w14:paraId="68DFD7D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w:t>
      </w:r>
      <w:r>
        <w:rPr>
          <w:rFonts w:ascii="Times New Roman" w:eastAsia="Times New Roman" w:hAnsi="Times New Roman" w:cs="Times New Roman"/>
          <w:i/>
          <w:sz w:val="24"/>
          <w:szCs w:val="24"/>
        </w:rPr>
        <w:t xml:space="preserve">hypercholestérolémie familiale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hyperlipoprotéinémie de type IIa</w:t>
      </w:r>
      <w:r>
        <w:rPr>
          <w:rFonts w:ascii="Times New Roman" w:eastAsia="Times New Roman" w:hAnsi="Times New Roman" w:cs="Times New Roman"/>
          <w:sz w:val="24"/>
          <w:szCs w:val="24"/>
        </w:rPr>
        <w:t>), le taux de cholestérol plasmatique est nettement élevé dès la naissance, de sorte que l'infarctus du myocarde peut survenir même chez l'enfant. Les causes principales sont des défauts dans le gène du récepteur LDL de haute affinité qui empêche l'absorption cellulaire du LDL. Le défaut peut entraîner 1) une diminution de la transcription du récepteur ; 2) des protéines du récepteur restant dans le réticulum endoplasmique ; 3) une incorporation réduite du récepteur dans la membrane cellulaire ; 4) une liaison réduite des LDL ; ou 5) une endocytose anormale. L'augmentation du cholestérol sérique résulte, d'une part, d'une réduction de l'absorption cellulaire des LDL riches en cholestérol et, d'autre part, d'une augmentation de la synthèse du cholestérol par les tissus extra-hépatiques, car la réduction de l'absorption des LDL dans ces tissus n'inhibe pas l'action de la 3-HMGCoA réductase. Le traitement consiste, en plus d'un régime alimentaire approprié, à administrer des résines échangeuses d'ions (</w:t>
      </w:r>
      <w:r>
        <w:rPr>
          <w:rFonts w:ascii="Times New Roman" w:eastAsia="Times New Roman" w:hAnsi="Times New Roman" w:cs="Times New Roman"/>
          <w:i/>
          <w:sz w:val="24"/>
          <w:szCs w:val="24"/>
        </w:rPr>
        <w:t>cholestyramine</w:t>
      </w:r>
      <w:r>
        <w:rPr>
          <w:rFonts w:ascii="Times New Roman" w:eastAsia="Times New Roman" w:hAnsi="Times New Roman" w:cs="Times New Roman"/>
          <w:sz w:val="24"/>
          <w:szCs w:val="24"/>
        </w:rPr>
        <w:t xml:space="preserve">) qui fixent les sels biliaires dans l'intestin et empêchent ainsi leur recirculation entérohépatique. Cela augmente la nouvelle synthèse des sels biliaires à partir du cholestérol dans le foie et réduit ainsi la concentration intracellulaire de cholestérol. </w:t>
      </w:r>
    </w:p>
    <w:p w14:paraId="6E68F62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w:t>
      </w:r>
      <w:r>
        <w:rPr>
          <w:rFonts w:ascii="Times New Roman" w:eastAsia="Times New Roman" w:hAnsi="Times New Roman" w:cs="Times New Roman"/>
          <w:i/>
          <w:sz w:val="24"/>
          <w:szCs w:val="24"/>
        </w:rPr>
        <w:t xml:space="preserve">athérosclérose </w:t>
      </w:r>
      <w:r>
        <w:rPr>
          <w:rFonts w:ascii="Times New Roman" w:eastAsia="Times New Roman" w:hAnsi="Times New Roman" w:cs="Times New Roman"/>
          <w:sz w:val="24"/>
          <w:szCs w:val="24"/>
        </w:rPr>
        <w:t xml:space="preserve">représente le dépôt de lipides (principalement le cholestérol et ses esters) sur l'intima et en partie dans la couche moyenne des artères, formant au niveau des parois des vaisseaux des plaques ou athéromes. Ces athéromes sont constitués d'esters de cholestérol, ainsi que de triglycérides, de glucosaminoglicanes, de collagène, d'élastine, de calcium, de macrophages et de débris cellulaires. L'athérome formé peut obturer la lumière artérielle, entraînant une ischémie des organes internes (cerveau, cœur, reins, etc.). Lorsque la membrane fibreuse de ces plaques est rompue, elles deviennent des centres d'agrégation des thrombocytes, de dépôt de fibrine et de thrombogenèse.  Les facteurs étiologiques de l'athérosclérose sont l'hyperlipidémie, en particulier l'augmentation du taux de cholestérol (LDL), l'hypertriglycéridémie, la diminution du taux de HDL, l'hypertension artérielle, l'obésité, le diabète sucré et les facteurs thrombogènes. </w:t>
      </w:r>
    </w:p>
    <w:p w14:paraId="4BB7165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principale manifestation morphologique de l'athérosclérose est la formation de l'athérome, qui représente un processus complexe. Chez une personne en bonne santé, les LDL transportent le cholestérol vers l'endothélium et d'autres cellules où il est utilisé pour la formation des membranes cellulaires. En cas d'hyperlipidémie à LDL (équivalente à l'</w:t>
      </w:r>
      <w:r>
        <w:rPr>
          <w:rFonts w:ascii="Times New Roman" w:eastAsia="Times New Roman" w:hAnsi="Times New Roman" w:cs="Times New Roman"/>
          <w:i/>
          <w:sz w:val="24"/>
          <w:szCs w:val="24"/>
        </w:rPr>
        <w:t>hypercholestérolémie</w:t>
      </w:r>
      <w:r>
        <w:rPr>
          <w:rFonts w:ascii="Times New Roman" w:eastAsia="Times New Roman" w:hAnsi="Times New Roman" w:cs="Times New Roman"/>
          <w:sz w:val="24"/>
          <w:szCs w:val="24"/>
        </w:rPr>
        <w:t>), les lipoprotéines interagissent avec des récepteurs membranaires spécifiques et sont phagocytées par les monocytes, qui migrent et pénètrent dans l'espace sous-endothélial. Dans les lysosomes des monocytes, le cholestérol est libéré des LDL par la synthèse d'esters de cholestérol, qui finissent par former des gouttes au cytoplasme "spumeux". Dans l'espace sous-endothélial, les "cellules spumeuses" meurent en libérant du cholestérol, ce qui forme la plaque d'athérome. Ainsi, les LDL et les VLDL représentent deux lipoprotéines très athérogènes. Les HDL représentent les antagonistes des HDL (</w:t>
      </w:r>
      <w:r>
        <w:rPr>
          <w:rFonts w:ascii="Times New Roman" w:eastAsia="Times New Roman" w:hAnsi="Times New Roman" w:cs="Times New Roman"/>
          <w:i/>
          <w:sz w:val="24"/>
          <w:szCs w:val="24"/>
        </w:rPr>
        <w:t>facteurs anti-athérogènes</w:t>
      </w:r>
      <w:r>
        <w:rPr>
          <w:rFonts w:ascii="Times New Roman" w:eastAsia="Times New Roman" w:hAnsi="Times New Roman" w:cs="Times New Roman"/>
          <w:sz w:val="24"/>
          <w:szCs w:val="24"/>
        </w:rPr>
        <w:t xml:space="preserve">). Ces lipoprotéines ont une masse moléculaire 10 fois inférieure à celle des lipoprotéines athérogènes, ce qui permet aux HDL de passer facilement la paroi vasculaire, de pénétrer dans les espaces inter-endothéliaux, d'extraire le cholestérol des cellules et des autres lipoprotéines au moyen de l'enzyme </w:t>
      </w:r>
      <w:r>
        <w:rPr>
          <w:rFonts w:ascii="Times New Roman" w:eastAsia="Times New Roman" w:hAnsi="Times New Roman" w:cs="Times New Roman"/>
          <w:i/>
          <w:sz w:val="24"/>
          <w:szCs w:val="24"/>
        </w:rPr>
        <w:t xml:space="preserve">lécithine-cholestérol-acyltransférase </w:t>
      </w:r>
      <w:r>
        <w:rPr>
          <w:rFonts w:ascii="Times New Roman" w:eastAsia="Times New Roman" w:hAnsi="Times New Roman" w:cs="Times New Roman"/>
          <w:sz w:val="24"/>
          <w:szCs w:val="24"/>
        </w:rPr>
        <w:t xml:space="preserve">et de transporter l'excès de cholestérol vers le foie, où il est principalement converti en acides biliaires. Ainsi, la pathogénie de l'athérosclérose peut être considérée non seulement comme une hypercholestérolémie, mais aussi comme une </w:t>
      </w:r>
      <w:r>
        <w:rPr>
          <w:rFonts w:ascii="Times New Roman" w:eastAsia="Times New Roman" w:hAnsi="Times New Roman" w:cs="Times New Roman"/>
          <w:i/>
          <w:sz w:val="24"/>
          <w:szCs w:val="24"/>
        </w:rPr>
        <w:t xml:space="preserve">dyslipoprotéinémie </w:t>
      </w:r>
      <w:r>
        <w:rPr>
          <w:rFonts w:ascii="Times New Roman" w:eastAsia="Times New Roman" w:hAnsi="Times New Roman" w:cs="Times New Roman"/>
          <w:sz w:val="24"/>
          <w:szCs w:val="24"/>
        </w:rPr>
        <w:t>- prédominance des LDL et VLDL sur les HDL.</w:t>
      </w:r>
    </w:p>
    <w:p w14:paraId="49E11D6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facteurs de risque de l'athérosclérose sont : l'obésité, le diabète sucré, l'hypoxie, la consommation excessive d'aliments, la nicotine, l'alcool.</w:t>
      </w:r>
    </w:p>
    <w:p w14:paraId="5C313CA0"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facteurs prophylactiques de l'athérosclérose sont les suivants : limitation de l'apport alimentaire en lipides et en cholestérol, consommation d'huiles végétales contenant des acides poly-non saturés, apport de cellulose (lie le cholestérol dans l'intestin et contribue à son élimination et diminue la cholestérolémie), administration de substances qui empêchent l'absorption du cholestérol dans le tube digestif (ex. bêta-cytostérone, un stéroïde végétal), de substances qui diminuent la cholestérolémie - œstrogènes, thyroxine, acide nicotinique, pyridoxine, de substances qui diminuent la réabsorption intestinale des acides biliaires, obligeant ainsi le foie à utiliser pour la synthèse des acides biliaires l'excédent de cholestérol de l'organisme (choléstiramine) ou de substances qui diminuent la synthèse du cholestérol - clofibrate.</w:t>
      </w:r>
    </w:p>
    <w:p w14:paraId="67EFA1E9" w14:textId="77777777" w:rsidR="00D24541" w:rsidRDefault="00D24541" w:rsidP="00D24541">
      <w:pPr>
        <w:spacing w:after="200"/>
        <w:ind w:firstLine="708"/>
        <w:jc w:val="both"/>
        <w:rPr>
          <w:rFonts w:ascii="Times New Roman" w:eastAsia="Times New Roman" w:hAnsi="Times New Roman" w:cs="Times New Roman"/>
          <w:b/>
          <w:sz w:val="24"/>
          <w:szCs w:val="24"/>
        </w:rPr>
      </w:pPr>
    </w:p>
    <w:p w14:paraId="6F23550A"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Troubles du métabolisme lipidique dans les organes</w:t>
      </w:r>
    </w:p>
    <w:p w14:paraId="398241F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L'infiltration graisseuse et la dystrophie graisseuse du foie sont des processus pathologiques caractérisés par une accumulation excessive de lipides dans les hépatocytes à la suite de processus pathologiques hépatiques locaux (lésions cellulaires, nécrose, inflammation) ou lors de dysmétabolismes généraux (hyperlipidémie dans l'obésité, dyslipidémie, hyperglycémie, malnutrition) (Fig. 5). </w:t>
      </w:r>
    </w:p>
    <w:p w14:paraId="552978C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w:t>
      </w:r>
      <w:r>
        <w:rPr>
          <w:rFonts w:ascii="Times New Roman" w:eastAsia="Times New Roman" w:hAnsi="Times New Roman" w:cs="Times New Roman"/>
          <w:i/>
          <w:sz w:val="24"/>
          <w:szCs w:val="24"/>
        </w:rPr>
        <w:t xml:space="preserve">infiltration lipidique du </w:t>
      </w:r>
      <w:r>
        <w:rPr>
          <w:rFonts w:ascii="Times New Roman" w:eastAsia="Times New Roman" w:hAnsi="Times New Roman" w:cs="Times New Roman"/>
          <w:sz w:val="24"/>
          <w:szCs w:val="24"/>
        </w:rPr>
        <w:t xml:space="preserve">foie représente une accumulation accrue dans le foie de lipides qui représentent plus de 1 % de la masse totale de l'organe sans lésion des organites cellulaires et constitue une forme réversible. La </w:t>
      </w:r>
      <w:r>
        <w:rPr>
          <w:rFonts w:ascii="Times New Roman" w:eastAsia="Times New Roman" w:hAnsi="Times New Roman" w:cs="Times New Roman"/>
          <w:i/>
          <w:sz w:val="24"/>
          <w:szCs w:val="24"/>
        </w:rPr>
        <w:t xml:space="preserve">dystrophie lipidique du foie </w:t>
      </w:r>
      <w:r>
        <w:rPr>
          <w:rFonts w:ascii="Times New Roman" w:eastAsia="Times New Roman" w:hAnsi="Times New Roman" w:cs="Times New Roman"/>
          <w:sz w:val="24"/>
          <w:szCs w:val="24"/>
        </w:rPr>
        <w:t xml:space="preserve">est le résultat d'une infiltration excessive et persistante du foie par des lipides, qui s'accompagne de modifications fonctionnelles et structurelles des organites. </w:t>
      </w:r>
    </w:p>
    <w:p w14:paraId="330B07D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Parmi les principales causes de l'infiltration graisseuse et de la dystrophie du foie, il convient de rappeler : les lésions cellulaires toxiques (action de substances hépatotoxiques - alcool, chloroforme, tétrachlorure de carbone), l'hypoxie, les infections (hépatite), le diabète sucré, l'inanition protéique totale et partielle, l'augmentation de l'apport en lipides, la mobilisation accrue des lipides endogènes à partir des réserves, l'épuisement des réserves de glycogène dans le foie, l'hypersécrétion de catécholamines et de glucocorticoïdes, le diabète sucré.</w:t>
      </w:r>
    </w:p>
    <w:p w14:paraId="4937A62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Dans la pathogenèse de l'infiltration graisseuse et de la dystrophie graisseuse du foie, les rôles principaux sont : l'hyperlipidémie, en particulier l'hyperchylomicronémie, la diminution de l'activité lipolytique et oxydative des hépatocytes, la diminution de la capacité des cellules hépatiques à synthétiser des phospholipides. </w:t>
      </w:r>
    </w:p>
    <w:p w14:paraId="76ED2B9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Selon la pathogénie et l'étiologie, il existe différentes formes d'infiltration graisseuse du foie. </w:t>
      </w:r>
    </w:p>
    <w:p w14:paraId="03ADED0B"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infiltration graisseuse alimentaire </w:t>
      </w:r>
      <w:r>
        <w:rPr>
          <w:rFonts w:ascii="Times New Roman" w:eastAsia="Times New Roman" w:hAnsi="Times New Roman" w:cs="Times New Roman"/>
          <w:sz w:val="24"/>
          <w:szCs w:val="24"/>
        </w:rPr>
        <w:t xml:space="preserve">représente l'invasion du foie par des chylomicrons provenant du tube digestif à la suite d'un apport excessif de lipides. </w:t>
      </w:r>
    </w:p>
    <w:p w14:paraId="426B607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L</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infiltration graisseuse dans le transport </w:t>
      </w:r>
      <w:r>
        <w:rPr>
          <w:rFonts w:ascii="Times New Roman" w:eastAsia="Times New Roman" w:hAnsi="Times New Roman" w:cs="Times New Roman"/>
          <w:sz w:val="24"/>
          <w:szCs w:val="24"/>
        </w:rPr>
        <w:t xml:space="preserve">est la conséquence d'une mobilisation accrue des lipides du tissu adipeux (hyperlipidémie avec VHDL). Une lipolyse intense peut être déclenchée par une diminution des réserves de glycogène dans le foie (famine), l'activation du système sympathique et l'hypersécrétion de catécholamines (stress), l'hypoxie, l'inanition, l'hypersécrétion d'ACTH et de glucocorticoïdes (syndrome de Cushing ou maladie de Cushing) ainsi que l'hypersécrétion de somatotropine (gigantisme ou acromégalie). </w:t>
      </w:r>
    </w:p>
    <w:p w14:paraId="2C617CAB" w14:textId="77777777" w:rsidR="00D24541" w:rsidRDefault="00D24541" w:rsidP="00D24541">
      <w:pPr>
        <w:spacing w:after="200"/>
        <w:ind w:firstLine="708"/>
        <w:jc w:val="both"/>
        <w:rPr>
          <w:rFonts w:ascii="Times New Roman" w:eastAsia="Times New Roman" w:hAnsi="Times New Roman" w:cs="Times New Roman"/>
          <w:sz w:val="24"/>
          <w:szCs w:val="24"/>
        </w:rPr>
      </w:pPr>
    </w:p>
    <w:p w14:paraId="32F87D1F" w14:textId="77777777" w:rsidR="00D24541" w:rsidRDefault="00D24541" w:rsidP="00D24541">
      <w:pPr>
        <w:spacing w:after="200"/>
        <w:ind w:firstLine="708"/>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369F8B0" wp14:editId="53765825">
            <wp:extent cx="4210950" cy="2862582"/>
            <wp:effectExtent l="9525" t="9525" r="9525" b="9525"/>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4210950" cy="2862582"/>
                    </a:xfrm>
                    <a:prstGeom prst="rect">
                      <a:avLst/>
                    </a:prstGeom>
                    <a:ln w="9525">
                      <a:solidFill>
                        <a:srgbClr val="000000"/>
                      </a:solidFill>
                      <a:prstDash val="solid"/>
                    </a:ln>
                  </pic:spPr>
                </pic:pic>
              </a:graphicData>
            </a:graphic>
          </wp:inline>
        </w:drawing>
      </w:r>
    </w:p>
    <w:p w14:paraId="01E4CF4E" w14:textId="77777777" w:rsidR="00D24541" w:rsidRDefault="00D24541" w:rsidP="00D24541">
      <w:pPr>
        <w:spacing w:after="20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Fig. 5. Foie gras</w:t>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A</w:t>
      </w:r>
      <w:r>
        <w:rPr>
          <w:rFonts w:ascii="Times New Roman" w:eastAsia="Times New Roman" w:hAnsi="Times New Roman" w:cs="Times New Roman"/>
          <w:sz w:val="20"/>
          <w:szCs w:val="20"/>
        </w:rPr>
        <w:t xml:space="preserve">, Schéma des mécanismes possibles conduisant à l'accumulation de triglycérides dans le foie gras. Des défauts dans l'une des étapes de l'absorption, du catabolisme ou de la sécrétion peuvent entraîner une accumulation de lipides. </w:t>
      </w:r>
      <w:r>
        <w:rPr>
          <w:rFonts w:ascii="Times New Roman" w:eastAsia="Times New Roman" w:hAnsi="Times New Roman" w:cs="Times New Roman"/>
          <w:b/>
          <w:sz w:val="20"/>
          <w:szCs w:val="20"/>
        </w:rPr>
        <w:t>B</w:t>
      </w:r>
      <w:r>
        <w:rPr>
          <w:rFonts w:ascii="Times New Roman" w:eastAsia="Times New Roman" w:hAnsi="Times New Roman" w:cs="Times New Roman"/>
          <w:sz w:val="20"/>
          <w:szCs w:val="20"/>
        </w:rPr>
        <w:t>, détail à haute puissance d'une modification graisseuse du foie. Dans la plupart des cellules, le noyau bien préservé est comprimé dans le bord déplacé du cytoplasme autour de la vacuole adipeuse (d'après Robbins-Cotran ; Pathological Basis of Disease).</w:t>
      </w:r>
    </w:p>
    <w:p w14:paraId="41F189E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capacité des hépatocytes à se débarrasser des lipides joue un rôle pathogène important. Ce processus comprend la lipolyse et l'oxydation des acides gras dans les hépatocytes ainsi que la synthèse des phospholipides et des lipoprotéines. Les phospholipides, contrairement aux lipides neutres, ont des capacités hydrophiles et assurent une dispersion fine des lipides, qui sont ainsi éliminés de l'hépatocyte. Le principal phospholipide hépatique est la </w:t>
      </w:r>
      <w:r>
        <w:rPr>
          <w:rFonts w:ascii="Times New Roman" w:eastAsia="Times New Roman" w:hAnsi="Times New Roman" w:cs="Times New Roman"/>
          <w:i/>
          <w:sz w:val="24"/>
          <w:szCs w:val="24"/>
        </w:rPr>
        <w:t>lécithine</w:t>
      </w:r>
      <w:r>
        <w:rPr>
          <w:rFonts w:ascii="Times New Roman" w:eastAsia="Times New Roman" w:hAnsi="Times New Roman" w:cs="Times New Roman"/>
          <w:sz w:val="24"/>
          <w:szCs w:val="24"/>
        </w:rPr>
        <w:t xml:space="preserve">, dont la synthèse nécessite de </w:t>
      </w:r>
      <w:r>
        <w:rPr>
          <w:rFonts w:ascii="Times New Roman" w:eastAsia="Times New Roman" w:hAnsi="Times New Roman" w:cs="Times New Roman"/>
          <w:i/>
          <w:sz w:val="24"/>
          <w:szCs w:val="24"/>
        </w:rPr>
        <w:t>la choline</w:t>
      </w:r>
      <w:r>
        <w:rPr>
          <w:rFonts w:ascii="Times New Roman" w:eastAsia="Times New Roman" w:hAnsi="Times New Roman" w:cs="Times New Roman"/>
          <w:sz w:val="24"/>
          <w:szCs w:val="24"/>
        </w:rPr>
        <w:t>. Pour la synthèse de la choline, il faut des groupes méthyliques qui sont donnés par la méthionine, alors que la méthionine représente à son tour l'acide aminé de la caséine du lait. En outre, la synthèse de la choline nécessite la vitamine B</w:t>
      </w:r>
      <w:r>
        <w:rPr>
          <w:rFonts w:ascii="Times New Roman" w:eastAsia="Times New Roman" w:hAnsi="Times New Roman" w:cs="Times New Roman"/>
          <w:sz w:val="24"/>
          <w:szCs w:val="24"/>
          <w:vertAlign w:val="subscript"/>
        </w:rPr>
        <w:t>12</w:t>
      </w:r>
      <w:r>
        <w:rPr>
          <w:rFonts w:ascii="Times New Roman" w:eastAsia="Times New Roman" w:hAnsi="Times New Roman" w:cs="Times New Roman"/>
          <w:sz w:val="24"/>
          <w:szCs w:val="24"/>
        </w:rPr>
        <w:t xml:space="preserve"> . Toutes les substances susmentionnées, qui contribuent au métabolisme des lipides et aident l'hépatocyte à se débarrasser des graisses, sont appelées </w:t>
      </w:r>
      <w:r>
        <w:rPr>
          <w:rFonts w:ascii="Times New Roman" w:eastAsia="Times New Roman" w:hAnsi="Times New Roman" w:cs="Times New Roman"/>
          <w:i/>
          <w:sz w:val="24"/>
          <w:szCs w:val="24"/>
        </w:rPr>
        <w:t>substances lipotropes</w:t>
      </w:r>
      <w:r>
        <w:rPr>
          <w:rFonts w:ascii="Times New Roman" w:eastAsia="Times New Roman" w:hAnsi="Times New Roman" w:cs="Times New Roman"/>
          <w:sz w:val="24"/>
          <w:szCs w:val="24"/>
        </w:rPr>
        <w:t xml:space="preserve">. Une substance lipotrope endogène très active est la </w:t>
      </w:r>
      <w:r>
        <w:rPr>
          <w:rFonts w:ascii="Times New Roman" w:eastAsia="Times New Roman" w:hAnsi="Times New Roman" w:cs="Times New Roman"/>
          <w:i/>
          <w:sz w:val="24"/>
          <w:szCs w:val="24"/>
        </w:rPr>
        <w:t xml:space="preserve">lipocaïne </w:t>
      </w:r>
      <w:r>
        <w:rPr>
          <w:rFonts w:ascii="Times New Roman" w:eastAsia="Times New Roman" w:hAnsi="Times New Roman" w:cs="Times New Roman"/>
          <w:sz w:val="24"/>
          <w:szCs w:val="24"/>
        </w:rPr>
        <w:t xml:space="preserve">sécrétée par les cellules gamma des petits canaux pancréatiques. </w:t>
      </w:r>
    </w:p>
    <w:p w14:paraId="6A45117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L'insuffisance de synthèse de l'albumine dans le foie diminue la capacité du sang à transporter les acides gras libérés du tissu adipeux vers les tissus de consommation. L'insuffisance de synthèse dans le foie d'autres protéines de transport (</w:t>
      </w:r>
      <w:r>
        <w:rPr>
          <w:rFonts w:ascii="Times New Roman" w:eastAsia="Times New Roman" w:hAnsi="Times New Roman" w:cs="Times New Roman"/>
          <w:i/>
          <w:sz w:val="24"/>
          <w:szCs w:val="24"/>
        </w:rPr>
        <w:t>alpha et bêta-globulines</w:t>
      </w:r>
      <w:r>
        <w:rPr>
          <w:rFonts w:ascii="Times New Roman" w:eastAsia="Times New Roman" w:hAnsi="Times New Roman" w:cs="Times New Roman"/>
          <w:sz w:val="24"/>
          <w:szCs w:val="24"/>
        </w:rPr>
        <w:t>) perturbe le transport des triglycérides, des acides gras, du cholestérol, des phospholipides, ce qui entraîne une infiltration graisseuse et une dystrophie graisseuse dans les organes. Cela se produit en cas d'inanition chronique en protéines ou lors de l'administration de substances qui inhibent la synthèse des protéines (ex. antibiotiques).</w:t>
      </w:r>
    </w:p>
    <w:p w14:paraId="76BC77FE" w14:textId="77777777" w:rsidR="00D24541" w:rsidRDefault="00D24541" w:rsidP="00D24541">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L'homéostasie lipidique du foie représente donc l'équilibre entre deux processus : la synthèse et le métabolisme des lipides et leur élimination du foie. Lorsque ces processus sont perturbés, des modifications graisseuses apparaissent dans les hépatocytes. Les conséquences de la dystrophie graisseuse du foie sont la dystrophie et la nécrose cellulaires, l'atrophie et la sclérose de l'organe.</w:t>
      </w:r>
    </w:p>
    <w:p w14:paraId="37544316" w14:textId="77777777" w:rsidR="00D24541" w:rsidRDefault="00D24541" w:rsidP="00D24541">
      <w:pPr>
        <w:spacing w:after="200"/>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Perturbations du métabolisme lipidique dans le cerveau</w:t>
      </w:r>
    </w:p>
    <w:p w14:paraId="369E678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Près de la moitié de la masse cérébrale est constituée de lipides, représentés principalement par les phospholipides, les sphyngomyélines, le cholestérol et seulement une petite quantité d'acides gras et de graisses neutres. Toutes ces substances sont principalement utilisées dans des processus de synthèse et ne sont pas stockées. Tous les lipides du cerveau sont produits localement à partir d'hydrates de carbone. Les mitochondries des neurones ne sont pas capables d'oxyder les acides gras, c'est pourquoi toute l'énergie nécessaire est fournie par le métabolisme des glucides. Le cerveau ne peut utiliser les corps cétoniques (principalement l'acide bêta-oxibutyrique) qu'en petite quantité, en cas d'inanition. </w:t>
      </w:r>
    </w:p>
    <w:p w14:paraId="75F76DC7"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Parmi les anomalies congénitales du métabolisme des lipides dans le cerveau, il ne faut pas oublier la </w:t>
      </w:r>
      <w:r>
        <w:rPr>
          <w:rFonts w:ascii="Times New Roman" w:eastAsia="Times New Roman" w:hAnsi="Times New Roman" w:cs="Times New Roman"/>
          <w:i/>
          <w:sz w:val="24"/>
          <w:szCs w:val="24"/>
        </w:rPr>
        <w:t>lipidose.</w:t>
      </w:r>
      <w:r>
        <w:rPr>
          <w:rFonts w:ascii="Times New Roman" w:eastAsia="Times New Roman" w:hAnsi="Times New Roman" w:cs="Times New Roman"/>
          <w:sz w:val="24"/>
          <w:szCs w:val="24"/>
        </w:rPr>
        <w:t xml:space="preserve"> Les lipidoses sont des troubles du métabolisme des graisses, dans lesquels des défauts d'enzymes et d'autres protéines provoquent l'accumulation (et donc le dépôt) de lipides. Les lipidoses cérébrales comprennent la </w:t>
      </w:r>
      <w:r>
        <w:rPr>
          <w:rFonts w:ascii="Times New Roman" w:eastAsia="Times New Roman" w:hAnsi="Times New Roman" w:cs="Times New Roman"/>
          <w:i/>
          <w:sz w:val="24"/>
          <w:szCs w:val="24"/>
        </w:rPr>
        <w:t xml:space="preserve">gangliosidose, la sphyngomyélinose et la glucocérébrosidose. </w:t>
      </w: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gangliosidoses </w:t>
      </w:r>
      <w:r>
        <w:rPr>
          <w:rFonts w:ascii="Times New Roman" w:eastAsia="Times New Roman" w:hAnsi="Times New Roman" w:cs="Times New Roman"/>
          <w:sz w:val="24"/>
          <w:szCs w:val="24"/>
        </w:rPr>
        <w:t xml:space="preserve">(maladie de Tay-Sachs et de Sandhoff) sont causées par divers défauts des hexosaminidases ou de la galactosidase. Dans la plupart des cas, l'accumulation de gangliosides entraîne des troubles cérébraux très graves et la mort dans la petite enfance. Dans la maladie de Refsum, la dégradation de l'acide phytanique est bloquée (défaut de l'acide phytanique-hydroxylase), ce qui entraîne son accumulation et son incorporation dans la myéline, conduisant à une polyneuropathie. Dans la maladie de Niemann-Pick (cinq phénotypes, A-E), il y a une accumulation de </w:t>
      </w:r>
      <w:r>
        <w:rPr>
          <w:rFonts w:ascii="Times New Roman" w:eastAsia="Times New Roman" w:hAnsi="Times New Roman" w:cs="Times New Roman"/>
          <w:i/>
          <w:sz w:val="24"/>
          <w:szCs w:val="24"/>
        </w:rPr>
        <w:t xml:space="preserve">sphingomyéline </w:t>
      </w:r>
      <w:r>
        <w:rPr>
          <w:rFonts w:ascii="Times New Roman" w:eastAsia="Times New Roman" w:hAnsi="Times New Roman" w:cs="Times New Roman"/>
          <w:sz w:val="24"/>
          <w:szCs w:val="24"/>
        </w:rPr>
        <w:t xml:space="preserve">et de cholestérol dans les lysosomes. Dans les types A (80 % de tous les cas de la maladie) et B, il y a un déficit en </w:t>
      </w:r>
      <w:r>
        <w:rPr>
          <w:rFonts w:ascii="Times New Roman" w:eastAsia="Times New Roman" w:hAnsi="Times New Roman" w:cs="Times New Roman"/>
          <w:i/>
          <w:sz w:val="24"/>
          <w:szCs w:val="24"/>
        </w:rPr>
        <w:t>sphingomyélinase</w:t>
      </w:r>
      <w:r>
        <w:rPr>
          <w:rFonts w:ascii="Times New Roman" w:eastAsia="Times New Roman" w:hAnsi="Times New Roman" w:cs="Times New Roman"/>
          <w:sz w:val="24"/>
          <w:szCs w:val="24"/>
        </w:rPr>
        <w:t xml:space="preserve">, tandis que dans le type C1, le déficit concerne une protéine (NPC1) qui joue un rôle important dans la distribution intracellulaire du cholestérol. Les effets du type A sont une hypertrophie de plusieurs organes et de graves anomalies neurologiques qui peuvent être fatales dès l'enfance. </w:t>
      </w:r>
    </w:p>
    <w:p w14:paraId="303B582A"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Les conséquences de la dyshoméostasie lipidique sont les suivantes : infiltration graisseuse et dystrophie graisseuse des cellules, athéromatose, nécrose cellulaire, atrophie, sclérose.</w:t>
      </w:r>
    </w:p>
    <w:p w14:paraId="6FB21A3F" w14:textId="77777777" w:rsidR="00D24541" w:rsidRDefault="00D24541" w:rsidP="00D24541">
      <w:pPr>
        <w:spacing w:after="200"/>
        <w:ind w:firstLine="708"/>
        <w:rPr>
          <w:rFonts w:ascii="Times New Roman" w:eastAsia="Times New Roman" w:hAnsi="Times New Roman" w:cs="Times New Roman"/>
          <w:b/>
          <w:sz w:val="20"/>
          <w:szCs w:val="20"/>
        </w:rPr>
      </w:pPr>
      <w:r>
        <w:rPr>
          <w:rFonts w:ascii="Times New Roman" w:eastAsia="Times New Roman" w:hAnsi="Times New Roman" w:cs="Times New Roman"/>
          <w:b/>
          <w:sz w:val="20"/>
          <w:szCs w:val="20"/>
        </w:rPr>
        <w:t>OBÉSITÉ</w:t>
      </w:r>
    </w:p>
    <w:p w14:paraId="1EA5DEA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L'excès d'adiposité (connu sous le nom d'</w:t>
      </w:r>
      <w:r>
        <w:rPr>
          <w:rFonts w:ascii="Times New Roman" w:eastAsia="Times New Roman" w:hAnsi="Times New Roman" w:cs="Times New Roman"/>
          <w:i/>
          <w:sz w:val="24"/>
          <w:szCs w:val="24"/>
        </w:rPr>
        <w:t>obésité</w:t>
      </w:r>
      <w:r>
        <w:rPr>
          <w:rFonts w:ascii="Times New Roman" w:eastAsia="Times New Roman" w:hAnsi="Times New Roman" w:cs="Times New Roman"/>
          <w:sz w:val="24"/>
          <w:szCs w:val="24"/>
        </w:rPr>
        <w:t xml:space="preserve">) et l'excès de poids sont associés à l'augmentation de l'incidence de plusieurs des maladies les plus importantes chez l'homme, notamment le diabète de type 2, les dyslipidémies, les maladies cardiovasculaires, l'hypertension et le cancer. </w:t>
      </w:r>
    </w:p>
    <w:p w14:paraId="5C5C22A8"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L'obésité est un problème majeur de santé publique qui, jusqu'à il y a une douzaine d'années, était confiné aux pays développés. Depuis lors, elle est également devenue un problème de santé important dans les pays en développement et, dans certains pays, l'obésité coexiste avec la malnutrition dans les familles. Aux États-Unis, l'obésité a atteint des proportions épidémiques. La prévalence de l'obésité est passée de 13 % à 32 % entre 1960 et 2004 ; actuellement, 66 % des adultes aux États-Unis sont en surpoids ou obèses, et 16 % des enfants sont en surpoids. L'augmentation de l'obésité aux États-Unis a été associée à la teneur calorique plus élevée du régime alimentaire, principalement due à la consommation accrue de sucres raffinés, de boissons sucrées et d'huiles végétales.</w:t>
      </w:r>
    </w:p>
    <w:p w14:paraId="55AA6D6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L'obésité est définie comme une accumulation de tissu adipeux suffisamment importante pour nuire à la santé. L'</w:t>
      </w:r>
      <w:r>
        <w:rPr>
          <w:rFonts w:ascii="Times New Roman" w:eastAsia="Times New Roman" w:hAnsi="Times New Roman" w:cs="Times New Roman"/>
          <w:i/>
          <w:sz w:val="24"/>
          <w:szCs w:val="24"/>
        </w:rPr>
        <w:t xml:space="preserve">indice de masse corporelle </w:t>
      </w:r>
      <w:r>
        <w:rPr>
          <w:rFonts w:ascii="Times New Roman" w:eastAsia="Times New Roman" w:hAnsi="Times New Roman" w:cs="Times New Roman"/>
          <w:sz w:val="24"/>
          <w:szCs w:val="24"/>
        </w:rPr>
        <w:t>(IMC) est le meilleur moyen d'évaluer l'excès de poids. Pour des raisons pratiques, le poids corporel, qui est généralement bien corrélé à l'IMC, est souvent utilisé comme substitut aux mesures de l'IMC. La fourchette normale de l'IMC se situe entre 18,5 et 25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bien que cette fourchette puisse varier d'un pays à l'autre. Les personnes dont l'IMC est supérieur à 30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sont considérées comme obèses ; celles dont l'IMC est compris entre 25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et 30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sont considérées comme étant en surpoids. Par souci de simplicité, sauf indication contraire, le terme obésité sera appliqué à la fois aux personnes réellement obèses et aux personnes en surpoids.</w:t>
      </w:r>
    </w:p>
    <w:p w14:paraId="06332717" w14:textId="77777777" w:rsidR="00D24541" w:rsidRDefault="00D24541" w:rsidP="00D24541">
      <w:pPr>
        <w:ind w:firstLine="720"/>
        <w:jc w:val="both"/>
        <w:rPr>
          <w:rFonts w:ascii="Times New Roman" w:eastAsia="Times New Roman" w:hAnsi="Times New Roman" w:cs="Times New Roman"/>
          <w:color w:val="292526"/>
          <w:sz w:val="24"/>
          <w:szCs w:val="24"/>
        </w:rPr>
      </w:pPr>
      <w:r>
        <w:rPr>
          <w:rFonts w:ascii="Times New Roman" w:eastAsia="Times New Roman" w:hAnsi="Times New Roman" w:cs="Times New Roman"/>
          <w:color w:val="292526"/>
          <w:sz w:val="24"/>
          <w:szCs w:val="24"/>
        </w:rPr>
        <w:t>Deux types d'obésité basés sur la répartition des graisses ont été décrits : l'obésité du haut du corps et l'obésité du bas du corps. L'</w:t>
      </w:r>
      <w:r>
        <w:rPr>
          <w:rFonts w:ascii="Times New Roman" w:eastAsia="Times New Roman" w:hAnsi="Times New Roman" w:cs="Times New Roman"/>
          <w:i/>
          <w:color w:val="292526"/>
          <w:sz w:val="24"/>
          <w:szCs w:val="24"/>
        </w:rPr>
        <w:t xml:space="preserve">obésité de la partie supérieure du corps </w:t>
      </w:r>
      <w:r>
        <w:rPr>
          <w:rFonts w:ascii="Times New Roman" w:eastAsia="Times New Roman" w:hAnsi="Times New Roman" w:cs="Times New Roman"/>
          <w:color w:val="292526"/>
          <w:sz w:val="24"/>
          <w:szCs w:val="24"/>
        </w:rPr>
        <w:t xml:space="preserve">est également appelée obésité </w:t>
      </w:r>
      <w:r>
        <w:rPr>
          <w:rFonts w:ascii="Times New Roman" w:eastAsia="Times New Roman" w:hAnsi="Times New Roman" w:cs="Times New Roman"/>
          <w:i/>
          <w:color w:val="292526"/>
          <w:sz w:val="24"/>
          <w:szCs w:val="24"/>
        </w:rPr>
        <w:t xml:space="preserve">centrale, abdominale </w:t>
      </w:r>
      <w:r>
        <w:rPr>
          <w:rFonts w:ascii="Times New Roman" w:eastAsia="Times New Roman" w:hAnsi="Times New Roman" w:cs="Times New Roman"/>
          <w:color w:val="292526"/>
          <w:sz w:val="24"/>
          <w:szCs w:val="24"/>
        </w:rPr>
        <w:t xml:space="preserve">ou </w:t>
      </w:r>
      <w:r>
        <w:rPr>
          <w:rFonts w:ascii="Times New Roman" w:eastAsia="Times New Roman" w:hAnsi="Times New Roman" w:cs="Times New Roman"/>
          <w:i/>
          <w:color w:val="292526"/>
          <w:sz w:val="24"/>
          <w:szCs w:val="24"/>
        </w:rPr>
        <w:t>masculine</w:t>
      </w:r>
      <w:r>
        <w:rPr>
          <w:rFonts w:ascii="Times New Roman" w:eastAsia="Times New Roman" w:hAnsi="Times New Roman" w:cs="Times New Roman"/>
          <w:color w:val="292526"/>
          <w:sz w:val="24"/>
          <w:szCs w:val="24"/>
        </w:rPr>
        <w:t xml:space="preserve">. L'obésité de la partie inférieure du corps est connue sous le nom d'obésité </w:t>
      </w:r>
      <w:r>
        <w:rPr>
          <w:rFonts w:ascii="Times New Roman" w:eastAsia="Times New Roman" w:hAnsi="Times New Roman" w:cs="Times New Roman"/>
          <w:i/>
          <w:color w:val="292526"/>
          <w:sz w:val="24"/>
          <w:szCs w:val="24"/>
        </w:rPr>
        <w:t xml:space="preserve">périphérique, fessière </w:t>
      </w:r>
      <w:r>
        <w:rPr>
          <w:rFonts w:ascii="Times New Roman" w:eastAsia="Times New Roman" w:hAnsi="Times New Roman" w:cs="Times New Roman"/>
          <w:color w:val="292526"/>
          <w:sz w:val="24"/>
          <w:szCs w:val="24"/>
        </w:rPr>
        <w:t xml:space="preserve">ou </w:t>
      </w:r>
      <w:r>
        <w:rPr>
          <w:rFonts w:ascii="Times New Roman" w:eastAsia="Times New Roman" w:hAnsi="Times New Roman" w:cs="Times New Roman"/>
          <w:i/>
          <w:color w:val="292526"/>
          <w:sz w:val="24"/>
          <w:szCs w:val="24"/>
        </w:rPr>
        <w:t>féminine</w:t>
      </w:r>
      <w:r>
        <w:rPr>
          <w:rFonts w:ascii="Times New Roman" w:eastAsia="Times New Roman" w:hAnsi="Times New Roman" w:cs="Times New Roman"/>
          <w:color w:val="292526"/>
          <w:sz w:val="24"/>
          <w:szCs w:val="24"/>
        </w:rPr>
        <w:t>. La recherche suggère que la répartition des graisses peut être un facteur de morbidité et de mortalité plus important que le surpoids ou l'obésité. La présence d'un excès de graisse dans l'abdomen par rapport à la graisse corporelle totale est un facteur prédictif indépendant des facteurs de risque et de la mortalité. L'une des caractéristiques de la graisse abdominale est que les acides gras libérés par les viscères se dirigent directement vers le foie avant d'entrer dans la circulation systémique, ce qui a un impact potentiellement plus important sur la fonction hépatique. On pense que des niveaux plus élevés d'acides gras libres circulants chez les personnes obèses, en particulier celles qui présentent une obésité de la partie supérieure du corps, sont associés à de nombreux effets néfastes de l'obésité. En général, les hommes ont plus de graisse intra-abdominale et les femmes plus de graisse sous-cutanée. Avec l'âge, la proportion de graisse intra-abdominale par rapport à la graisse sous-cutanée augmente. Après la ménopause, les femmes tendent à acquérir une répartition plus centrale de la graisse. La graisse viscérale est également associée à des anomalies du métabolisme et des niveaux d'hormones sexuelles.</w:t>
      </w:r>
    </w:p>
    <w:p w14:paraId="736F52B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Dans sa forme la plus simple, l'obésité est une maladie de déséquilibre calorique qui résulte d'un apport excessif de calories par rapport à leur consommation par l'organisme. Cependant, la pathogenèse de l'obésité est extrêmement complexe et n'est pas encore complètement comprise. Les recherches en cours ont permis d'identifier des mécanismes humoraux et neuronaux complexes qui contrôlent l'appétit et la satiété. Ces mécanismes neurohumoraux répondent à des signaux génétiques, nutritionnels, environnementaux et psychologiques et déclenchent une réponse métabolique par la stimulation de centres situés dans l'hypothalamus. Il ne fait aucun </w:t>
      </w:r>
      <w:r>
        <w:rPr>
          <w:rFonts w:ascii="Times New Roman" w:eastAsia="Times New Roman" w:hAnsi="Times New Roman" w:cs="Times New Roman"/>
          <w:sz w:val="24"/>
          <w:szCs w:val="24"/>
        </w:rPr>
        <w:lastRenderedPageBreak/>
        <w:t>doute que les influences génétiques jouent un rôle important dans le contrôle du poids, mais l'obésité est une maladie qui dépend de l'interaction entre de multiples facteurs. Après tout, quel que soit le patrimoine génétique, l'obésité ne se produirait pas sans ingestion de nourriture.</w:t>
      </w:r>
    </w:p>
    <w:p w14:paraId="10C4A9D2"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manière simplifiée, les mécanismes neurohumoraux qui régulent l'équilibre énergétique peuvent être subdivisés en trois composantes :</w:t>
      </w:r>
    </w:p>
    <w:p w14:paraId="63B39C74" w14:textId="77777777" w:rsidR="00D24541" w:rsidRDefault="00D24541" w:rsidP="00D24541">
      <w:pPr>
        <w:numPr>
          <w:ilvl w:val="0"/>
          <w:numId w:val="3"/>
        </w:num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w:t>
      </w:r>
      <w:r>
        <w:rPr>
          <w:rFonts w:ascii="Times New Roman" w:eastAsia="Times New Roman" w:hAnsi="Times New Roman" w:cs="Times New Roman"/>
          <w:i/>
          <w:sz w:val="24"/>
          <w:szCs w:val="24"/>
        </w:rPr>
        <w:t xml:space="preserve">système périphérique </w:t>
      </w:r>
      <w:r>
        <w:rPr>
          <w:rFonts w:ascii="Times New Roman" w:eastAsia="Times New Roman" w:hAnsi="Times New Roman" w:cs="Times New Roman"/>
          <w:sz w:val="24"/>
          <w:szCs w:val="24"/>
        </w:rPr>
        <w:t xml:space="preserve">ou </w:t>
      </w:r>
      <w:r>
        <w:rPr>
          <w:rFonts w:ascii="Times New Roman" w:eastAsia="Times New Roman" w:hAnsi="Times New Roman" w:cs="Times New Roman"/>
          <w:i/>
          <w:sz w:val="24"/>
          <w:szCs w:val="24"/>
        </w:rPr>
        <w:t xml:space="preserve">afférent </w:t>
      </w:r>
      <w:r>
        <w:rPr>
          <w:rFonts w:ascii="Times New Roman" w:eastAsia="Times New Roman" w:hAnsi="Times New Roman" w:cs="Times New Roman"/>
          <w:sz w:val="24"/>
          <w:szCs w:val="24"/>
        </w:rPr>
        <w:t xml:space="preserve">génère des signaux à partir de différents sites. Ses principaux composants sont la </w:t>
      </w:r>
      <w:r>
        <w:rPr>
          <w:rFonts w:ascii="Times New Roman" w:eastAsia="Times New Roman" w:hAnsi="Times New Roman" w:cs="Times New Roman"/>
          <w:i/>
          <w:sz w:val="24"/>
          <w:szCs w:val="24"/>
        </w:rPr>
        <w:t xml:space="preserve">leptine </w:t>
      </w:r>
      <w:r>
        <w:rPr>
          <w:rFonts w:ascii="Times New Roman" w:eastAsia="Times New Roman" w:hAnsi="Times New Roman" w:cs="Times New Roman"/>
          <w:sz w:val="24"/>
          <w:szCs w:val="24"/>
        </w:rPr>
        <w:t>et l'</w:t>
      </w:r>
      <w:r>
        <w:rPr>
          <w:rFonts w:ascii="Times New Roman" w:eastAsia="Times New Roman" w:hAnsi="Times New Roman" w:cs="Times New Roman"/>
          <w:i/>
          <w:sz w:val="24"/>
          <w:szCs w:val="24"/>
        </w:rPr>
        <w:t xml:space="preserve">adiponectine </w:t>
      </w:r>
      <w:r>
        <w:rPr>
          <w:rFonts w:ascii="Times New Roman" w:eastAsia="Times New Roman" w:hAnsi="Times New Roman" w:cs="Times New Roman"/>
          <w:sz w:val="24"/>
          <w:szCs w:val="24"/>
        </w:rPr>
        <w:t xml:space="preserve">produites par les cellules adipeuses, la </w:t>
      </w:r>
      <w:r>
        <w:rPr>
          <w:rFonts w:ascii="Times New Roman" w:eastAsia="Times New Roman" w:hAnsi="Times New Roman" w:cs="Times New Roman"/>
          <w:i/>
          <w:sz w:val="24"/>
          <w:szCs w:val="24"/>
        </w:rPr>
        <w:t xml:space="preserve">ghréline </w:t>
      </w:r>
      <w:r>
        <w:rPr>
          <w:rFonts w:ascii="Times New Roman" w:eastAsia="Times New Roman" w:hAnsi="Times New Roman" w:cs="Times New Roman"/>
          <w:sz w:val="24"/>
          <w:szCs w:val="24"/>
        </w:rPr>
        <w:t xml:space="preserve">provenant de l'estomac, le </w:t>
      </w:r>
      <w:r>
        <w:rPr>
          <w:rFonts w:ascii="Times New Roman" w:eastAsia="Times New Roman" w:hAnsi="Times New Roman" w:cs="Times New Roman"/>
          <w:i/>
          <w:sz w:val="24"/>
          <w:szCs w:val="24"/>
        </w:rPr>
        <w:t xml:space="preserve">peptide YY </w:t>
      </w:r>
      <w:r>
        <w:rPr>
          <w:rFonts w:ascii="Times New Roman" w:eastAsia="Times New Roman" w:hAnsi="Times New Roman" w:cs="Times New Roman"/>
          <w:sz w:val="24"/>
          <w:szCs w:val="24"/>
        </w:rPr>
        <w:t>(PYY) provenant de l'iléon et du côlon, et l'</w:t>
      </w:r>
      <w:r>
        <w:rPr>
          <w:rFonts w:ascii="Times New Roman" w:eastAsia="Times New Roman" w:hAnsi="Times New Roman" w:cs="Times New Roman"/>
          <w:i/>
          <w:sz w:val="24"/>
          <w:szCs w:val="24"/>
        </w:rPr>
        <w:t xml:space="preserve">insuline </w:t>
      </w:r>
      <w:r>
        <w:rPr>
          <w:rFonts w:ascii="Times New Roman" w:eastAsia="Times New Roman" w:hAnsi="Times New Roman" w:cs="Times New Roman"/>
          <w:sz w:val="24"/>
          <w:szCs w:val="24"/>
        </w:rPr>
        <w:t xml:space="preserve">provenant du pancréas. </w:t>
      </w:r>
    </w:p>
    <w:p w14:paraId="7C85ECB2" w14:textId="77777777" w:rsidR="00D24541" w:rsidRDefault="00D24541" w:rsidP="00D24541">
      <w:pPr>
        <w:numPr>
          <w:ilvl w:val="0"/>
          <w:numId w:val="1"/>
        </w:numPr>
        <w:spacing w:after="200"/>
        <w:ind w:firstLine="63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 leptine. </w:t>
      </w:r>
      <w:r>
        <w:rPr>
          <w:rFonts w:ascii="Times New Roman" w:eastAsia="Times New Roman" w:hAnsi="Times New Roman" w:cs="Times New Roman"/>
          <w:sz w:val="24"/>
          <w:szCs w:val="24"/>
        </w:rPr>
        <w:t xml:space="preserve">Le nom </w:t>
      </w:r>
      <w:r>
        <w:rPr>
          <w:rFonts w:ascii="Times New Roman" w:eastAsia="Times New Roman" w:hAnsi="Times New Roman" w:cs="Times New Roman"/>
          <w:i/>
          <w:sz w:val="24"/>
          <w:szCs w:val="24"/>
        </w:rPr>
        <w:t xml:space="preserve">leptine </w:t>
      </w:r>
      <w:r>
        <w:rPr>
          <w:rFonts w:ascii="Times New Roman" w:eastAsia="Times New Roman" w:hAnsi="Times New Roman" w:cs="Times New Roman"/>
          <w:sz w:val="24"/>
          <w:szCs w:val="24"/>
        </w:rPr>
        <w:t xml:space="preserve">est dérivé du terme grec leptos, qui signifie "mince". La leptine, une hormone de 16 kD synthétisée par les cellules adipeuses, est le produit du </w:t>
      </w:r>
      <w:r>
        <w:rPr>
          <w:rFonts w:ascii="Times New Roman" w:eastAsia="Times New Roman" w:hAnsi="Times New Roman" w:cs="Times New Roman"/>
          <w:i/>
          <w:sz w:val="24"/>
          <w:szCs w:val="24"/>
        </w:rPr>
        <w:t>gène ob</w:t>
      </w:r>
      <w:r>
        <w:rPr>
          <w:rFonts w:ascii="Times New Roman" w:eastAsia="Times New Roman" w:hAnsi="Times New Roman" w:cs="Times New Roman"/>
          <w:sz w:val="24"/>
          <w:szCs w:val="24"/>
        </w:rPr>
        <w:t>. Les souris génétiquement déficientes en leptine (souris ob/ob) ou en récepteurs de la leptine (souris db/db) ne perçoivent pas l'adéquation des réserves de graisse, mangent trop et prennent du poids, se comportant comme si elles étaient sous-alimentées. L'obésité de ces animaux est donc une conséquence de l'absence du signal de suffisance énergétique normalement fourni par la leptine.</w:t>
      </w:r>
    </w:p>
    <w:p w14:paraId="38D671B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Bien que, d'une manière générale, les niveaux de leptine soient régulés par l'adéquation des réserves de graisse, les mécanismes précis qui régulent la production de leptine à partir du tissu adipeux n'ont pas été complètement définis, mais il a été établi que la sécrétion de leptine est stimulée lorsque les réserves de graisse sont abondantes. Dans l'hypothalamus, la leptine stimule les neurones POMC/CART qui produisent des neuropeptides anorexigènes (principalement l'hormone stimulant les mélanocytes) et inhibe les neurones NPY/AgRP qui produisent des neuropeptides induisant l'alimentation (orexigènes). Lorsque les réserves de graisse corporelle sont insuffisantes, la sécrétion de leptine diminue et la prise alimentaire augmente. En plus de ces effets, la leptine peut fonctionner comme une cytokine pro-inflammatoire et participe à la régulation de l'hématopoïèse et de la lymphopoïèse.</w:t>
      </w:r>
    </w:p>
    <w:p w14:paraId="15D50F23" w14:textId="77777777" w:rsidR="00D24541" w:rsidRDefault="00D24541" w:rsidP="00D24541">
      <w:pPr>
        <w:numPr>
          <w:ilvl w:val="0"/>
          <w:numId w:val="1"/>
        </w:numPr>
        <w:ind w:left="90" w:firstLine="5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L'adiponectine. </w:t>
      </w:r>
      <w:r>
        <w:rPr>
          <w:rFonts w:ascii="Times New Roman" w:eastAsia="Times New Roman" w:hAnsi="Times New Roman" w:cs="Times New Roman"/>
          <w:sz w:val="24"/>
          <w:szCs w:val="24"/>
        </w:rPr>
        <w:t>Des injections d'</w:t>
      </w:r>
      <w:r>
        <w:rPr>
          <w:rFonts w:ascii="Times New Roman" w:eastAsia="Times New Roman" w:hAnsi="Times New Roman" w:cs="Times New Roman"/>
          <w:i/>
          <w:sz w:val="24"/>
          <w:szCs w:val="24"/>
        </w:rPr>
        <w:t xml:space="preserve">adiponectine </w:t>
      </w:r>
      <w:r>
        <w:rPr>
          <w:rFonts w:ascii="Times New Roman" w:eastAsia="Times New Roman" w:hAnsi="Times New Roman" w:cs="Times New Roman"/>
          <w:sz w:val="24"/>
          <w:szCs w:val="24"/>
        </w:rPr>
        <w:t>chez la souris stimulent l'oxydation des acides gras dans les muscles, entraînant une diminution de la masse grasse. Cette hormone est produite principalement par les adipocytes. Son taux dans le sang est très élevé, environ 1000 fois supérieur à celui des autres hormones polypeptidiques, et est plus faible chez les personnes obèses que chez les personnes maigres. L'adiponectine, qualifiée de "</w:t>
      </w:r>
      <w:r>
        <w:rPr>
          <w:rFonts w:ascii="Times New Roman" w:eastAsia="Times New Roman" w:hAnsi="Times New Roman" w:cs="Times New Roman"/>
          <w:i/>
          <w:sz w:val="24"/>
          <w:szCs w:val="24"/>
        </w:rPr>
        <w:t>molécule brûle-graisse</w:t>
      </w:r>
      <w:r>
        <w:rPr>
          <w:rFonts w:ascii="Times New Roman" w:eastAsia="Times New Roman" w:hAnsi="Times New Roman" w:cs="Times New Roman"/>
          <w:sz w:val="24"/>
          <w:szCs w:val="24"/>
        </w:rPr>
        <w:t>" et d'"ange gardien de l'obésité", dirige les acides gras vers les muscles pour leur oxydation. Elle diminue l'afflux d'acides gras vers le foie et la teneur totale en triglycérides hépatiques, ainsi que la production de glucose dans le foie, ce qui entraîne une augmentation de la sensibilité à l'insuline et une protection contre le syndrome métabolique. L'adiponectine circule sous la forme d'un complexe de trois, six, voire plus d'agrégats de la forme monomérique, et se lie à deux récepteurs, AdipoR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et AdipoR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Ces récepteurs sont présents dans de nombreux tissus, y compris le cerveau, mais l'AdipoR</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et l'AdipoR</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sont plus fortement exprimés dans les muscles squelettiques et le foie, respectivement. La liaison de l'adiponectine à ses récepteurs déclenche des signaux qui activent la protéine kinase activée par l'adénosine monophosphate cyclique, qui à son tour phosphoryle et inactive l'acétyl coenzyme A carboxylase, une enzyme clé nécessaire à la synthèse des acides gras.</w:t>
      </w:r>
    </w:p>
    <w:p w14:paraId="29B27826" w14:textId="77777777" w:rsidR="00D24541" w:rsidRDefault="00D24541" w:rsidP="00D24541">
      <w:pPr>
        <w:numPr>
          <w:ilvl w:val="0"/>
          <w:numId w:val="1"/>
        </w:numPr>
        <w:ind w:firstLine="6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b/>
          <w:i/>
          <w:sz w:val="24"/>
          <w:szCs w:val="24"/>
        </w:rPr>
        <w:t xml:space="preserve">ghréline </w:t>
      </w:r>
      <w:r>
        <w:rPr>
          <w:rFonts w:ascii="Times New Roman" w:eastAsia="Times New Roman" w:hAnsi="Times New Roman" w:cs="Times New Roman"/>
          <w:sz w:val="24"/>
          <w:szCs w:val="24"/>
        </w:rPr>
        <w:t>est produite dans l'estomac et dans le noyau arqué de l'hypothalamus. C'est la seule hormone intestinale connue qui augmente la prise alimentaire (</w:t>
      </w:r>
      <w:r>
        <w:rPr>
          <w:rFonts w:ascii="Times New Roman" w:eastAsia="Times New Roman" w:hAnsi="Times New Roman" w:cs="Times New Roman"/>
          <w:i/>
          <w:sz w:val="24"/>
          <w:szCs w:val="24"/>
        </w:rPr>
        <w:t>effet orexigène</w:t>
      </w:r>
      <w:r>
        <w:rPr>
          <w:rFonts w:ascii="Times New Roman" w:eastAsia="Times New Roman" w:hAnsi="Times New Roman" w:cs="Times New Roman"/>
          <w:sz w:val="24"/>
          <w:szCs w:val="24"/>
        </w:rPr>
        <w:t xml:space="preserve">). Son injection chez les rongeurs provoque une alimentation vorace, même après une administration répétée. Les injections à long terme provoquent une prise de poids, en augmentant l'apport calorique et en réduisant </w:t>
      </w:r>
      <w:r>
        <w:rPr>
          <w:rFonts w:ascii="Times New Roman" w:eastAsia="Times New Roman" w:hAnsi="Times New Roman" w:cs="Times New Roman"/>
          <w:sz w:val="24"/>
          <w:szCs w:val="24"/>
        </w:rPr>
        <w:lastRenderedPageBreak/>
        <w:t>l'utilisation de l'énergie. La ghréline agit en se liant au récepteur sécrétagogue de l'hormone de croissance, qui est abondant dans l'hypothalamus et l'hypophyse. Les taux de ghréline augmentent avant les repas et diminuent entre 1 et 2 heures après avoir mangé. Cependant, chez les personnes obèses, la suppression postprandiale de la ghréline est atténuée, ce qui entraîne le maintien de l'obésité.</w:t>
      </w:r>
    </w:p>
    <w:p w14:paraId="3EB819C1" w14:textId="77777777" w:rsidR="00D24541" w:rsidRDefault="00D24541" w:rsidP="00D24541">
      <w:pPr>
        <w:numPr>
          <w:ilvl w:val="0"/>
          <w:numId w:val="1"/>
        </w:numPr>
        <w:tabs>
          <w:tab w:val="left" w:pos="180"/>
        </w:tabs>
        <w:ind w:firstLine="63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Peptide YY</w:t>
      </w:r>
      <w:r>
        <w:rPr>
          <w:rFonts w:ascii="Times New Roman" w:eastAsia="Times New Roman" w:hAnsi="Times New Roman" w:cs="Times New Roman"/>
          <w:sz w:val="24"/>
          <w:szCs w:val="24"/>
        </w:rPr>
        <w:t>. Le PYY est sécrété par les cellules endocrines de l'iléon et du côlon. Les taux plasmatiques de PYY sont faibles pendant le jeûne et augmentent peu après la prise de nourriture. L'administration intraveineuse de PYY réduit l'apport énergétique et ses taux augmentent généralement après un pontage gastrique. Ces observations ont conduit à des travaux en cours visant à produire des PYY pour le traitement de l'obésité. L'</w:t>
      </w:r>
      <w:r>
        <w:rPr>
          <w:rFonts w:ascii="Times New Roman" w:eastAsia="Times New Roman" w:hAnsi="Times New Roman" w:cs="Times New Roman"/>
          <w:i/>
          <w:sz w:val="24"/>
          <w:szCs w:val="24"/>
        </w:rPr>
        <w:t>amyline</w:t>
      </w:r>
      <w:r>
        <w:rPr>
          <w:rFonts w:ascii="Times New Roman" w:eastAsia="Times New Roman" w:hAnsi="Times New Roman" w:cs="Times New Roman"/>
          <w:sz w:val="24"/>
          <w:szCs w:val="24"/>
        </w:rPr>
        <w:t>, un peptide sécrété avec l'insuline par les cellules β du pancréas qui réduit la prise alimentaire et la prise de poids, est également en cours d'évaluation pour le traitement de l'obésité et du diabète. Le PYY et l'amyline agissent tous deux au niveau central en stimulant les neurones POMC/CART dans l'hypothalamus, ce qui entraîne une diminution de la prise alimentaire.</w:t>
      </w:r>
    </w:p>
    <w:p w14:paraId="37C0D3AF" w14:textId="77777777" w:rsidR="00D24541" w:rsidRDefault="00D24541" w:rsidP="00D24541">
      <w:pPr>
        <w:numPr>
          <w:ilvl w:val="0"/>
          <w:numId w:val="3"/>
        </w:num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w:t>
      </w:r>
      <w:r>
        <w:rPr>
          <w:rFonts w:ascii="Times New Roman" w:eastAsia="Times New Roman" w:hAnsi="Times New Roman" w:cs="Times New Roman"/>
          <w:i/>
          <w:sz w:val="24"/>
          <w:szCs w:val="24"/>
        </w:rPr>
        <w:t xml:space="preserve">noyau arqué de l'hypothalamus </w:t>
      </w:r>
      <w:r>
        <w:rPr>
          <w:rFonts w:ascii="Times New Roman" w:eastAsia="Times New Roman" w:hAnsi="Times New Roman" w:cs="Times New Roman"/>
          <w:sz w:val="24"/>
          <w:szCs w:val="24"/>
        </w:rPr>
        <w:t xml:space="preserve">traite et intègre les signaux périphériques neurohumoraux et génère des signaux efférents. Il contient deux sous-ensembles de neurones de premier ordre : (1) les neurones </w:t>
      </w:r>
      <w:r>
        <w:rPr>
          <w:rFonts w:ascii="Times New Roman" w:eastAsia="Times New Roman" w:hAnsi="Times New Roman" w:cs="Times New Roman"/>
          <w:i/>
          <w:sz w:val="24"/>
          <w:szCs w:val="24"/>
        </w:rPr>
        <w:t xml:space="preserve">POMC </w:t>
      </w:r>
      <w:r>
        <w:rPr>
          <w:rFonts w:ascii="Times New Roman" w:eastAsia="Times New Roman" w:hAnsi="Times New Roman" w:cs="Times New Roman"/>
          <w:sz w:val="24"/>
          <w:szCs w:val="24"/>
        </w:rPr>
        <w:t xml:space="preserve">(pro-opiomélanocortine) et </w:t>
      </w:r>
      <w:r>
        <w:rPr>
          <w:rFonts w:ascii="Times New Roman" w:eastAsia="Times New Roman" w:hAnsi="Times New Roman" w:cs="Times New Roman"/>
          <w:i/>
          <w:sz w:val="24"/>
          <w:szCs w:val="24"/>
        </w:rPr>
        <w:t xml:space="preserve">CART </w:t>
      </w:r>
      <w:r>
        <w:rPr>
          <w:rFonts w:ascii="Times New Roman" w:eastAsia="Times New Roman" w:hAnsi="Times New Roman" w:cs="Times New Roman"/>
          <w:sz w:val="24"/>
          <w:szCs w:val="24"/>
        </w:rPr>
        <w:t xml:space="preserve">(transcrits régulés par la cocaïne et l'amphétamine), et (2) les neurones contenant du NPY (neuropeptide Y) et de l'AgRP (peptide lié à l'agouti). Ces neurones de premier ordre communiquent avec les neurones de second ordre. </w:t>
      </w:r>
    </w:p>
    <w:p w14:paraId="7B85C0DB" w14:textId="77777777" w:rsidR="00D24541" w:rsidRDefault="00D24541" w:rsidP="00D24541">
      <w:pPr>
        <w:numPr>
          <w:ilvl w:val="0"/>
          <w:numId w:val="3"/>
        </w:numPr>
        <w:spacing w:after="200"/>
        <w:ind w:left="90" w:firstLine="7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 </w:t>
      </w:r>
      <w:r>
        <w:rPr>
          <w:rFonts w:ascii="Times New Roman" w:eastAsia="Times New Roman" w:hAnsi="Times New Roman" w:cs="Times New Roman"/>
          <w:i/>
          <w:sz w:val="24"/>
          <w:szCs w:val="24"/>
        </w:rPr>
        <w:t xml:space="preserve">système efférent </w:t>
      </w:r>
      <w:r>
        <w:rPr>
          <w:rFonts w:ascii="Times New Roman" w:eastAsia="Times New Roman" w:hAnsi="Times New Roman" w:cs="Times New Roman"/>
          <w:sz w:val="24"/>
          <w:szCs w:val="24"/>
        </w:rPr>
        <w:t>qui transmet les signaux générés dans les neurones de second ordre de l'hypothalamus pour contrôler la prise alimentaire et la dépense énergétique. Le système hypothalamique communique également avec les centres du cerveau antérieur et du cerveau moyen qui contrôlent le système nerveux autonome.</w:t>
      </w:r>
    </w:p>
    <w:p w14:paraId="55447B0F"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neurones POMC/CART augmentent la dépense énergétique et la perte de poids par la production de l'</w:t>
      </w:r>
      <w:r>
        <w:rPr>
          <w:rFonts w:ascii="Times New Roman" w:eastAsia="Times New Roman" w:hAnsi="Times New Roman" w:cs="Times New Roman"/>
          <w:i/>
          <w:sz w:val="24"/>
          <w:szCs w:val="24"/>
        </w:rPr>
        <w:t xml:space="preserve">hormone </w:t>
      </w:r>
      <w:r>
        <w:rPr>
          <w:rFonts w:ascii="Times New Roman" w:eastAsia="Times New Roman" w:hAnsi="Times New Roman" w:cs="Times New Roman"/>
          <w:sz w:val="24"/>
          <w:szCs w:val="24"/>
        </w:rPr>
        <w:t>anorexigène α-mélanocyte-stimulante (MSH) et l'activation des récepteurs 3 et 4 de la mélanocortine (MC3/4R) dans les neurones de second ordre. Les neurones NPY/AgRP favorisent la prise alimentaire (</w:t>
      </w:r>
      <w:r>
        <w:rPr>
          <w:rFonts w:ascii="Times New Roman" w:eastAsia="Times New Roman" w:hAnsi="Times New Roman" w:cs="Times New Roman"/>
          <w:i/>
          <w:sz w:val="24"/>
          <w:szCs w:val="24"/>
        </w:rPr>
        <w:t>effet orexigène</w:t>
      </w:r>
      <w:r>
        <w:rPr>
          <w:rFonts w:ascii="Times New Roman" w:eastAsia="Times New Roman" w:hAnsi="Times New Roman" w:cs="Times New Roman"/>
          <w:sz w:val="24"/>
          <w:szCs w:val="24"/>
        </w:rPr>
        <w:t>) et la prise de poids, par l'activation des récepteurs Y1/5 dans les neurones secondaires.</w:t>
      </w:r>
    </w:p>
    <w:p w14:paraId="3F31BEB3" w14:textId="77777777" w:rsidR="00D24541" w:rsidRDefault="00D24541" w:rsidP="00D24541">
      <w:pPr>
        <w:spacing w:after="200"/>
        <w:ind w:firstLine="708"/>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E2065F8" wp14:editId="3BF4D5D4">
            <wp:extent cx="5706110" cy="4029321"/>
            <wp:effectExtent l="0" t="0" r="0" b="0"/>
            <wp:docPr id="2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706110" cy="4029321"/>
                    </a:xfrm>
                    <a:prstGeom prst="rect">
                      <a:avLst/>
                    </a:prstGeom>
                    <a:ln/>
                  </pic:spPr>
                </pic:pic>
              </a:graphicData>
            </a:graphic>
          </wp:inline>
        </w:drawing>
      </w:r>
    </w:p>
    <w:p w14:paraId="726DA11B" w14:textId="77777777" w:rsidR="00D24541" w:rsidRDefault="00D24541" w:rsidP="00D24541">
      <w:pPr>
        <w:spacing w:after="200"/>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Fig. 6. Régulation de l'équilibre énergétique. </w:t>
      </w:r>
    </w:p>
    <w:p w14:paraId="72CA7EF8" w14:textId="77777777" w:rsidR="00D24541" w:rsidRDefault="00D24541" w:rsidP="00D24541">
      <w:pPr>
        <w:spacing w:after="200"/>
        <w:ind w:firstLine="7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Les tissus adipeux génèrent des signaux afférents qui influencent l'activité de l'hypothalamus, régulateur central de l'appétit et de la satiété. Ces signaux diminuent la prise alimentaire en inhibant les circuits anaboliques et augmentent la dépense énergétique en activant les circuits cataboliques. PYY, peptide YY. (D'après Robbins-Cotran ; Pathological Basis of Disease)</w:t>
      </w:r>
    </w:p>
    <w:p w14:paraId="5D75DB2A" w14:textId="77777777" w:rsidR="00D24541" w:rsidRDefault="00D24541" w:rsidP="00D24541">
      <w:pPr>
        <w:spacing w:after="20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Rôle du tissu adipeux dans l'obésité </w:t>
      </w:r>
    </w:p>
    <w:p w14:paraId="0D65C9D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Outre la leptine et l'adiponectine, le tissu adipeux produit des cytokines telles que le TNF, l'IL-6, l'IL-1 et l'IL-18, des chimiokines et des hormones stéroïdiennes. La production accrue de cytokines et de chimiokines par le tissu adipeux chez les patients obèses crée un état inflammatoire chronique subclinique (asymptomatique) qui comprend des niveaux élevés de protéine C-réactive en circulation. Par ses multiples activités, le tissu adipeux participe au contrôle de l'équilibre énergétique et du métabolisme énergétique, en faisant le lien entre le métabolisme des lipides, la nutrition et les réponses inflammatoires. Ainsi, l'adipocyte qui était relégué à un rôle obscur et passif en tant que "Cendrillon des cellules du métabolisme", est maintenant "la Belle du bal" au premier plan de la recherche métabolique.</w:t>
      </w:r>
    </w:p>
    <w:p w14:paraId="14FC8F41"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nombre total d'adipocytes est établi pendant l'enfance et l'adolescence, et il est plus élevé chez les personnes obèses que chez les personnes maigres. Chez l'adulte, le nombre d'adipocytes reste constant, même après des pertes ou des gains de poids, mais il y a un renouvellement continu de la population cellulaire. On estime qu'environ 10 % des adipocytes sont renouvelés chaque année, quel que soit le niveau de la masse corporelle de l'individu. Ainsi, bien que la masse grasse d'une personne adulte puisse augmenter grâce à l'accroissement des adipocytes existants, leur nombre est étroitement contrôlé et prédéterminé pendant l'enfance et l'adolescence. Chez les personnes qui perdent du poids à la suite d'un régime alimentaire, les difficultés bien connues à maintenir la perte de poids sont, en partie, une conséquence de l'absence de diminution du nombre d'adipocytes et de l'augmentation de l'appétit causée par la carence en leptine.</w:t>
      </w:r>
    </w:p>
    <w:p w14:paraId="38105DCC" w14:textId="77777777" w:rsidR="00D24541" w:rsidRDefault="00D24541" w:rsidP="00D24541">
      <w:pPr>
        <w:spacing w:after="200"/>
        <w:ind w:firstLine="708"/>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Conséquences générales de l'obésité</w:t>
      </w:r>
    </w:p>
    <w:p w14:paraId="66EB22E3"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L'obésité, en particulier l'obésité centrale, augmente le risque d'un certain nombre de maladies, notamment le diabète de type 2 et les maladies cardiovasculaires. L'obésité est le principal moteur d'un ensemble d'altérations connu sous le nom de </w:t>
      </w:r>
      <w:r>
        <w:rPr>
          <w:rFonts w:ascii="Times New Roman" w:eastAsia="Times New Roman" w:hAnsi="Times New Roman" w:cs="Times New Roman"/>
          <w:i/>
          <w:sz w:val="24"/>
          <w:szCs w:val="24"/>
        </w:rPr>
        <w:t>syndrome métabolique</w:t>
      </w:r>
      <w:r>
        <w:rPr>
          <w:rFonts w:ascii="Times New Roman" w:eastAsia="Times New Roman" w:hAnsi="Times New Roman" w:cs="Times New Roman"/>
          <w:sz w:val="24"/>
          <w:szCs w:val="24"/>
        </w:rPr>
        <w:t xml:space="preserve">, caractérisé par une adiposité viscérale ou intra-abdominale, une résistance à l'insuline, une hyperinsulinémie, une intolérance au glucose, une hypertension, une hypertriglycéridémie et un faible taux de cholestérol HDL. </w:t>
      </w:r>
    </w:p>
    <w:p w14:paraId="65A65F1D"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  obésité est associée à la </w:t>
      </w:r>
      <w:r>
        <w:rPr>
          <w:rFonts w:ascii="Times New Roman" w:eastAsia="Times New Roman" w:hAnsi="Times New Roman" w:cs="Times New Roman"/>
          <w:i/>
          <w:sz w:val="24"/>
          <w:szCs w:val="24"/>
        </w:rPr>
        <w:t xml:space="preserve">résistance à l'insuline </w:t>
      </w:r>
      <w:r>
        <w:rPr>
          <w:rFonts w:ascii="Times New Roman" w:eastAsia="Times New Roman" w:hAnsi="Times New Roman" w:cs="Times New Roman"/>
          <w:sz w:val="24"/>
          <w:szCs w:val="24"/>
        </w:rPr>
        <w:t>et à l'</w:t>
      </w:r>
      <w:r>
        <w:rPr>
          <w:rFonts w:ascii="Times New Roman" w:eastAsia="Times New Roman" w:hAnsi="Times New Roman" w:cs="Times New Roman"/>
          <w:i/>
          <w:sz w:val="24"/>
          <w:szCs w:val="24"/>
        </w:rPr>
        <w:t>hyperinsulinémie</w:t>
      </w:r>
      <w:r>
        <w:rPr>
          <w:rFonts w:ascii="Times New Roman" w:eastAsia="Times New Roman" w:hAnsi="Times New Roman" w:cs="Times New Roman"/>
          <w:sz w:val="24"/>
          <w:szCs w:val="24"/>
        </w:rPr>
        <w:t xml:space="preserve">, caractéristiques importantes du diabète de type 2, et la perte de poids est associée à une amélioration. On a émis l'hypothèse que l'excès d'insuline pourrait à son tour jouer un rôle dans la rétention de sodium, l'augmentation du volume sanguin, la production d'un excès de norépinéphrine et la prolifération des muscles lisses, qui sont les caractéristiques de l'hypertension. Quelle que soit la nature des mécanismes pathogènes, le risque de développer une hypertension chez des personnes précédemment normotendues augmente proportionnellement au poids. </w:t>
      </w:r>
    </w:p>
    <w:p w14:paraId="3A9BD705"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Les personnes obèses présentent généralement une hypertriglycéridémie et un faible taux de HDL, ce qui peut augmenter le risque de </w:t>
      </w:r>
      <w:r>
        <w:rPr>
          <w:rFonts w:ascii="Times New Roman" w:eastAsia="Times New Roman" w:hAnsi="Times New Roman" w:cs="Times New Roman"/>
          <w:i/>
          <w:sz w:val="24"/>
          <w:szCs w:val="24"/>
        </w:rPr>
        <w:t xml:space="preserve">maladie coronarienne </w:t>
      </w:r>
      <w:r>
        <w:rPr>
          <w:rFonts w:ascii="Times New Roman" w:eastAsia="Times New Roman" w:hAnsi="Times New Roman" w:cs="Times New Roman"/>
          <w:sz w:val="24"/>
          <w:szCs w:val="24"/>
        </w:rPr>
        <w:t xml:space="preserve">chez les personnes très obèses. Il convient de souligner que l'association entre l'obésité et les maladies cardiaques n'est pas évidente et que le lien éventuel est davantage lié au diabète et à l'hypertension qui y sont associés qu'au poids. </w:t>
      </w:r>
    </w:p>
    <w:p w14:paraId="07949B7C"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L'obésité est associée à la </w:t>
      </w:r>
      <w:r>
        <w:rPr>
          <w:rFonts w:ascii="Times New Roman" w:eastAsia="Times New Roman" w:hAnsi="Times New Roman" w:cs="Times New Roman"/>
          <w:i/>
          <w:sz w:val="24"/>
          <w:szCs w:val="24"/>
        </w:rPr>
        <w:t>stéatose hépatique non alcoolique</w:t>
      </w:r>
      <w:r>
        <w:rPr>
          <w:rFonts w:ascii="Times New Roman" w:eastAsia="Times New Roman" w:hAnsi="Times New Roman" w:cs="Times New Roman"/>
          <w:sz w:val="24"/>
          <w:szCs w:val="24"/>
        </w:rPr>
        <w:t xml:space="preserve">. Cette affection survient le plus souvent chez les patients diabétiques et peut évoluer vers la fibrose et la cirrhose. La cholélithiase (calculs biliaires) est six fois plus fréquente chez les sujets obèses que chez les sujets maigres. L'augmentation du cholestérol corporel total, l'augmentation du renouvellement du cholestérol et l'augmentation de l'excrétion biliaire du cholestérol sont autant de facteurs qui prédisposent à la formation de calculs biliaires riches en cholestérol. </w:t>
      </w:r>
    </w:p>
    <w:p w14:paraId="6B1D8E27"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L'obésité est associée à l'</w:t>
      </w:r>
      <w:r>
        <w:rPr>
          <w:rFonts w:ascii="Times New Roman" w:eastAsia="Times New Roman" w:hAnsi="Times New Roman" w:cs="Times New Roman"/>
          <w:i/>
          <w:sz w:val="24"/>
          <w:szCs w:val="24"/>
        </w:rPr>
        <w:t xml:space="preserve">hypoventilation </w:t>
      </w:r>
      <w:r>
        <w:rPr>
          <w:rFonts w:ascii="Times New Roman" w:eastAsia="Times New Roman" w:hAnsi="Times New Roman" w:cs="Times New Roman"/>
          <w:sz w:val="24"/>
          <w:szCs w:val="24"/>
        </w:rPr>
        <w:t>et à l'</w:t>
      </w:r>
      <w:r>
        <w:rPr>
          <w:rFonts w:ascii="Times New Roman" w:eastAsia="Times New Roman" w:hAnsi="Times New Roman" w:cs="Times New Roman"/>
          <w:i/>
          <w:sz w:val="24"/>
          <w:szCs w:val="24"/>
        </w:rPr>
        <w:t>hypersomnolence</w:t>
      </w:r>
      <w:r>
        <w:rPr>
          <w:rFonts w:ascii="Times New Roman" w:eastAsia="Times New Roman" w:hAnsi="Times New Roman" w:cs="Times New Roman"/>
          <w:sz w:val="24"/>
          <w:szCs w:val="24"/>
        </w:rPr>
        <w:t xml:space="preserve">. Le syndrome d'hypoventilation est une constellation d'anomalies respiratoires chez les personnes très obèses. Il a été appelé </w:t>
      </w:r>
      <w:r>
        <w:rPr>
          <w:rFonts w:ascii="Times New Roman" w:eastAsia="Times New Roman" w:hAnsi="Times New Roman" w:cs="Times New Roman"/>
          <w:i/>
          <w:sz w:val="24"/>
          <w:szCs w:val="24"/>
        </w:rPr>
        <w:t>syndrome pickwickien</w:t>
      </w:r>
      <w:r>
        <w:rPr>
          <w:rFonts w:ascii="Times New Roman" w:eastAsia="Times New Roman" w:hAnsi="Times New Roman" w:cs="Times New Roman"/>
          <w:sz w:val="24"/>
          <w:szCs w:val="24"/>
        </w:rPr>
        <w:t xml:space="preserve">, en référence au gros garçon qui s'endormait constamment dans les Pickwick Papers de Charles Dickens. L'hypersomnolence, tant nocturne que diurne, est caractéristique et est souvent associée à des pauses apnéiques pendant le sommeil, à une polyglobulie et à une éventuelle insuffisance cardiaque droite. </w:t>
      </w:r>
    </w:p>
    <w:p w14:paraId="67E37184" w14:textId="77777777" w:rsidR="00D24541" w:rsidRDefault="00D24541" w:rsidP="00D24541">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Une adiposité marquée prédispose au développement d'une </w:t>
      </w:r>
      <w:r>
        <w:rPr>
          <w:rFonts w:ascii="Times New Roman" w:eastAsia="Times New Roman" w:hAnsi="Times New Roman" w:cs="Times New Roman"/>
          <w:i/>
          <w:sz w:val="24"/>
          <w:szCs w:val="24"/>
        </w:rPr>
        <w:t xml:space="preserve">maladie dégénérative des articulations </w:t>
      </w:r>
      <w:r>
        <w:rPr>
          <w:rFonts w:ascii="Times New Roman" w:eastAsia="Times New Roman" w:hAnsi="Times New Roman" w:cs="Times New Roman"/>
          <w:sz w:val="24"/>
          <w:szCs w:val="24"/>
        </w:rPr>
        <w:t xml:space="preserve">(arthrose). Cette forme d'arthrite, qui apparaît généralement chez les personnes âgées, est attribuée en grande partie aux effets cumulatifs d'une charge accrue sur les articulations portantes. </w:t>
      </w:r>
    </w:p>
    <w:p w14:paraId="1B86BED4" w14:textId="77777777" w:rsidR="00F12C76" w:rsidRDefault="00F12C76" w:rsidP="006C0B77">
      <w:pPr>
        <w:ind w:firstLine="709"/>
        <w:jc w:val="both"/>
      </w:pPr>
    </w:p>
    <w:sectPr w:rsidR="00F12C76" w:rsidSect="00D45DA8">
      <w:type w:val="continuous"/>
      <w:pgSz w:w="12240" w:h="15840"/>
      <w:pgMar w:top="720" w:right="720" w:bottom="720" w:left="720" w:header="567" w:footer="567"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oneSerif">
    <w:altName w:val="Calibri"/>
    <w:charset w:val="00"/>
    <w:family w:val="auto"/>
    <w:pitch w:val="default"/>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D62ED"/>
    <w:multiLevelType w:val="multilevel"/>
    <w:tmpl w:val="E8CC56A8"/>
    <w:lvl w:ilvl="0">
      <w:start w:val="1"/>
      <w:numFmt w:val="decimal"/>
      <w:lvlText w:val="%1."/>
      <w:lvlJc w:val="left"/>
      <w:pPr>
        <w:ind w:left="1698" w:hanging="704"/>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 w15:restartNumberingAfterBreak="0">
    <w:nsid w:val="40203EA7"/>
    <w:multiLevelType w:val="multilevel"/>
    <w:tmpl w:val="9692C36C"/>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5EA47A3B"/>
    <w:multiLevelType w:val="multilevel"/>
    <w:tmpl w:val="EE2A6CC4"/>
    <w:lvl w:ilvl="0">
      <w:start w:val="1"/>
      <w:numFmt w:val="bullet"/>
      <w:lvlText w:val="●"/>
      <w:lvlJc w:val="left"/>
      <w:pPr>
        <w:ind w:left="1428" w:hanging="360"/>
      </w:pPr>
      <w:rPr>
        <w:u w:val="none"/>
      </w:rPr>
    </w:lvl>
    <w:lvl w:ilvl="1">
      <w:start w:val="1"/>
      <w:numFmt w:val="bullet"/>
      <w:lvlText w:val="o"/>
      <w:lvlJc w:val="left"/>
      <w:pPr>
        <w:ind w:left="2148" w:hanging="360"/>
      </w:pPr>
      <w:rPr>
        <w:u w:val="none"/>
      </w:rPr>
    </w:lvl>
    <w:lvl w:ilvl="2">
      <w:start w:val="1"/>
      <w:numFmt w:val="bullet"/>
      <w:lvlText w:val="▪"/>
      <w:lvlJc w:val="left"/>
      <w:pPr>
        <w:ind w:left="2868" w:hanging="360"/>
      </w:pPr>
      <w:rPr>
        <w:u w:val="none"/>
      </w:rPr>
    </w:lvl>
    <w:lvl w:ilvl="3">
      <w:start w:val="1"/>
      <w:numFmt w:val="bullet"/>
      <w:lvlText w:val="●"/>
      <w:lvlJc w:val="left"/>
      <w:pPr>
        <w:ind w:left="3588" w:hanging="360"/>
      </w:pPr>
      <w:rPr>
        <w:u w:val="none"/>
      </w:rPr>
    </w:lvl>
    <w:lvl w:ilvl="4">
      <w:start w:val="1"/>
      <w:numFmt w:val="bullet"/>
      <w:lvlText w:val="o"/>
      <w:lvlJc w:val="left"/>
      <w:pPr>
        <w:ind w:left="4308" w:hanging="360"/>
      </w:pPr>
      <w:rPr>
        <w:u w:val="none"/>
      </w:rPr>
    </w:lvl>
    <w:lvl w:ilvl="5">
      <w:start w:val="1"/>
      <w:numFmt w:val="bullet"/>
      <w:lvlText w:val="▪"/>
      <w:lvlJc w:val="left"/>
      <w:pPr>
        <w:ind w:left="5028" w:hanging="360"/>
      </w:pPr>
      <w:rPr>
        <w:u w:val="none"/>
      </w:rPr>
    </w:lvl>
    <w:lvl w:ilvl="6">
      <w:start w:val="1"/>
      <w:numFmt w:val="bullet"/>
      <w:lvlText w:val="●"/>
      <w:lvlJc w:val="left"/>
      <w:pPr>
        <w:ind w:left="5748" w:hanging="360"/>
      </w:pPr>
      <w:rPr>
        <w:u w:val="none"/>
      </w:rPr>
    </w:lvl>
    <w:lvl w:ilvl="7">
      <w:start w:val="1"/>
      <w:numFmt w:val="bullet"/>
      <w:lvlText w:val="o"/>
      <w:lvlJc w:val="left"/>
      <w:pPr>
        <w:ind w:left="6468" w:hanging="360"/>
      </w:pPr>
      <w:rPr>
        <w:u w:val="none"/>
      </w:rPr>
    </w:lvl>
    <w:lvl w:ilvl="8">
      <w:start w:val="1"/>
      <w:numFmt w:val="bullet"/>
      <w:lvlText w:val="▪"/>
      <w:lvlJc w:val="left"/>
      <w:pPr>
        <w:ind w:left="7188" w:hanging="360"/>
      </w:pPr>
      <w:rPr>
        <w:u w:val="none"/>
      </w:rPr>
    </w:lvl>
  </w:abstractNum>
  <w:abstractNum w:abstractNumId="3" w15:restartNumberingAfterBreak="0">
    <w:nsid w:val="6005752C"/>
    <w:multiLevelType w:val="multilevel"/>
    <w:tmpl w:val="BA062632"/>
    <w:lvl w:ilvl="0">
      <w:start w:val="1"/>
      <w:numFmt w:val="bullet"/>
      <w:lvlText w:val="●"/>
      <w:lvlJc w:val="left"/>
      <w:pPr>
        <w:ind w:left="990" w:hanging="360"/>
      </w:pPr>
      <w:rPr>
        <w:u w:val="none"/>
      </w:rPr>
    </w:lvl>
    <w:lvl w:ilvl="1">
      <w:start w:val="1"/>
      <w:numFmt w:val="bullet"/>
      <w:lvlText w:val="o"/>
      <w:lvlJc w:val="left"/>
      <w:pPr>
        <w:ind w:left="3510" w:hanging="360"/>
      </w:pPr>
      <w:rPr>
        <w:u w:val="none"/>
      </w:rPr>
    </w:lvl>
    <w:lvl w:ilvl="2">
      <w:start w:val="1"/>
      <w:numFmt w:val="bullet"/>
      <w:lvlText w:val="▪"/>
      <w:lvlJc w:val="left"/>
      <w:pPr>
        <w:ind w:left="4230" w:hanging="360"/>
      </w:pPr>
      <w:rPr>
        <w:u w:val="none"/>
      </w:rPr>
    </w:lvl>
    <w:lvl w:ilvl="3">
      <w:start w:val="1"/>
      <w:numFmt w:val="bullet"/>
      <w:lvlText w:val="●"/>
      <w:lvlJc w:val="left"/>
      <w:pPr>
        <w:ind w:left="4950" w:hanging="360"/>
      </w:pPr>
      <w:rPr>
        <w:u w:val="none"/>
      </w:rPr>
    </w:lvl>
    <w:lvl w:ilvl="4">
      <w:start w:val="1"/>
      <w:numFmt w:val="bullet"/>
      <w:lvlText w:val="o"/>
      <w:lvlJc w:val="left"/>
      <w:pPr>
        <w:ind w:left="5670" w:hanging="360"/>
      </w:pPr>
      <w:rPr>
        <w:u w:val="none"/>
      </w:rPr>
    </w:lvl>
    <w:lvl w:ilvl="5">
      <w:start w:val="1"/>
      <w:numFmt w:val="bullet"/>
      <w:lvlText w:val="▪"/>
      <w:lvlJc w:val="left"/>
      <w:pPr>
        <w:ind w:left="6390" w:hanging="360"/>
      </w:pPr>
      <w:rPr>
        <w:u w:val="none"/>
      </w:rPr>
    </w:lvl>
    <w:lvl w:ilvl="6">
      <w:start w:val="1"/>
      <w:numFmt w:val="bullet"/>
      <w:lvlText w:val="●"/>
      <w:lvlJc w:val="left"/>
      <w:pPr>
        <w:ind w:left="7110" w:hanging="360"/>
      </w:pPr>
      <w:rPr>
        <w:u w:val="none"/>
      </w:rPr>
    </w:lvl>
    <w:lvl w:ilvl="7">
      <w:start w:val="1"/>
      <w:numFmt w:val="bullet"/>
      <w:lvlText w:val="o"/>
      <w:lvlJc w:val="left"/>
      <w:pPr>
        <w:ind w:left="7830" w:hanging="360"/>
      </w:pPr>
      <w:rPr>
        <w:u w:val="none"/>
      </w:rPr>
    </w:lvl>
    <w:lvl w:ilvl="8">
      <w:start w:val="1"/>
      <w:numFmt w:val="bullet"/>
      <w:lvlText w:val="▪"/>
      <w:lvlJc w:val="left"/>
      <w:pPr>
        <w:ind w:left="855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541"/>
    <w:rsid w:val="00427CBA"/>
    <w:rsid w:val="006C0B77"/>
    <w:rsid w:val="008242FF"/>
    <w:rsid w:val="00870751"/>
    <w:rsid w:val="00922C48"/>
    <w:rsid w:val="00B915B7"/>
    <w:rsid w:val="00D24541"/>
    <w:rsid w:val="00D45DA8"/>
    <w:rsid w:val="00DE242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6545"/>
  <w15:chartTrackingRefBased/>
  <w15:docId w15:val="{805915DB-B779-4A1C-85F1-EB25B819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541"/>
    <w:pPr>
      <w:spacing w:after="0" w:line="276" w:lineRule="auto"/>
    </w:pPr>
    <w:rPr>
      <w:rFonts w:ascii="Arial" w:eastAsia="Arial" w:hAnsi="Arial" w:cs="Arial"/>
      <w:lang w:val="en" w:eastAsia="ro-MD"/>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27865</Words>
  <Characters>161620</Characters>
  <Application>Microsoft Office Word</Application>
  <DocSecurity>0</DocSecurity>
  <Lines>1346</Lines>
  <Paragraphs>378</Paragraphs>
  <ScaleCrop>false</ScaleCrop>
  <Company/>
  <LinksUpToDate>false</LinksUpToDate>
  <CharactersWithSpaces>189107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2026-08-28T16:09:00Z</dcterms:created>
  <dcterms:modified xsi:type="dcterms:W3CDTF">2026-08-28T16:10:00Z</dcterms:modified>
</cp:coreProperties>
</file>