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6BD5" w14:textId="0CC580CB" w:rsidR="009478BF" w:rsidRPr="00AD1F7D" w:rsidRDefault="00AD1F7D" w:rsidP="009478BF">
      <w:pPr>
        <w:jc w:val="both"/>
        <w:rPr>
          <w:rFonts w:ascii="Times New Roman" w:hAnsi="Times New Roman"/>
          <w:b/>
          <w:iCs/>
          <w:sz w:val="24"/>
          <w:szCs w:val="24"/>
          <w:lang w:val="en-US"/>
        </w:rPr>
      </w:pPr>
      <w:r w:rsidRPr="00AD1F7D">
        <w:rPr>
          <w:rFonts w:ascii="Times New Roman" w:hAnsi="Times New Roman"/>
          <w:b/>
          <w:iCs/>
          <w:sz w:val="24"/>
          <w:szCs w:val="24"/>
          <w:lang w:val="en-US"/>
        </w:rPr>
        <w:t>STOMATOLOGIE</w:t>
      </w:r>
    </w:p>
    <w:tbl>
      <w:tblPr>
        <w:tblStyle w:val="a3"/>
        <w:tblW w:w="0" w:type="auto"/>
        <w:tblLook w:val="04A0" w:firstRow="1" w:lastRow="0" w:firstColumn="1" w:lastColumn="0" w:noHBand="0" w:noVBand="1"/>
      </w:tblPr>
      <w:tblGrid>
        <w:gridCol w:w="2677"/>
        <w:gridCol w:w="1288"/>
        <w:gridCol w:w="763"/>
        <w:gridCol w:w="3205"/>
        <w:gridCol w:w="1412"/>
      </w:tblGrid>
      <w:tr w:rsidR="005F4E9B" w:rsidRPr="00C34D15" w14:paraId="760AADDA" w14:textId="551A0635" w:rsidTr="005240DD">
        <w:trPr>
          <w:trHeight w:val="387"/>
        </w:trPr>
        <w:tc>
          <w:tcPr>
            <w:tcW w:w="2677" w:type="dxa"/>
            <w:shd w:val="clear" w:color="auto" w:fill="DEEAF6" w:themeFill="accent1" w:themeFillTint="33"/>
          </w:tcPr>
          <w:p w14:paraId="47974AF5" w14:textId="77777777"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Denumirea disciplinei</w:t>
            </w:r>
          </w:p>
        </w:tc>
        <w:tc>
          <w:tcPr>
            <w:tcW w:w="6668" w:type="dxa"/>
            <w:gridSpan w:val="4"/>
          </w:tcPr>
          <w:p w14:paraId="626CF5CB" w14:textId="4C5AA238" w:rsidR="005F4E9B" w:rsidRPr="005F4E9B" w:rsidRDefault="005F4E9B" w:rsidP="005F4E9B">
            <w:pPr>
              <w:rPr>
                <w:rFonts w:ascii="Times New Roman" w:hAnsi="Times New Roman" w:cs="Times New Roman"/>
                <w:b/>
                <w:bCs/>
                <w:sz w:val="24"/>
                <w:szCs w:val="24"/>
                <w:lang w:val="ro-MD"/>
              </w:rPr>
            </w:pPr>
            <w:r w:rsidRPr="005F4E9B">
              <w:rPr>
                <w:rFonts w:ascii="Times New Roman" w:hAnsi="Times New Roman" w:cs="Times New Roman"/>
                <w:b/>
                <w:bCs/>
                <w:sz w:val="24"/>
                <w:szCs w:val="24"/>
                <w:lang w:val="ro-MD"/>
              </w:rPr>
              <w:t>Morfopatologia</w:t>
            </w:r>
          </w:p>
        </w:tc>
      </w:tr>
      <w:tr w:rsidR="005F4E9B" w:rsidRPr="00C34D15" w14:paraId="2F29E519" w14:textId="0B0D4BD6" w:rsidTr="00EC129D">
        <w:tc>
          <w:tcPr>
            <w:tcW w:w="2677" w:type="dxa"/>
          </w:tcPr>
          <w:p w14:paraId="12BC7C15" w14:textId="77777777" w:rsidR="005F4E9B" w:rsidRPr="00C34D15" w:rsidRDefault="005F4E9B" w:rsidP="000B7EA4">
            <w:pPr>
              <w:rPr>
                <w:rFonts w:ascii="Times New Roman" w:hAnsi="Times New Roman" w:cs="Times New Roman"/>
                <w:sz w:val="24"/>
                <w:szCs w:val="24"/>
                <w:lang w:val="ro-MD"/>
              </w:rPr>
            </w:pPr>
            <w:r w:rsidRPr="00C34D15">
              <w:rPr>
                <w:rFonts w:ascii="Times New Roman" w:hAnsi="Times New Roman" w:cs="Times New Roman"/>
                <w:sz w:val="24"/>
                <w:szCs w:val="24"/>
                <w:lang w:val="ro-MD"/>
              </w:rPr>
              <w:t xml:space="preserve">Tipul </w:t>
            </w:r>
          </w:p>
        </w:tc>
        <w:tc>
          <w:tcPr>
            <w:tcW w:w="2051" w:type="dxa"/>
            <w:gridSpan w:val="2"/>
          </w:tcPr>
          <w:p w14:paraId="63F0FD14" w14:textId="14BA6764"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Obligator</w:t>
            </w:r>
          </w:p>
        </w:tc>
        <w:tc>
          <w:tcPr>
            <w:tcW w:w="3205" w:type="dxa"/>
          </w:tcPr>
          <w:p w14:paraId="78DE3C67" w14:textId="13C17A5F" w:rsidR="005F4E9B" w:rsidRPr="00C34D15" w:rsidRDefault="005F4E9B" w:rsidP="005F4E9B">
            <w:pPr>
              <w:rPr>
                <w:rFonts w:ascii="Times New Roman" w:hAnsi="Times New Roman" w:cs="Times New Roman"/>
                <w:sz w:val="24"/>
                <w:szCs w:val="24"/>
                <w:lang w:val="ro-MD"/>
              </w:rPr>
            </w:pPr>
            <w:r>
              <w:rPr>
                <w:rFonts w:ascii="Times New Roman" w:hAnsi="Times New Roman" w:cs="Times New Roman"/>
                <w:sz w:val="24"/>
                <w:szCs w:val="24"/>
                <w:lang w:val="ro-MD"/>
              </w:rPr>
              <w:t>Credite</w:t>
            </w:r>
          </w:p>
        </w:tc>
        <w:tc>
          <w:tcPr>
            <w:tcW w:w="1412" w:type="dxa"/>
          </w:tcPr>
          <w:p w14:paraId="18230D49" w14:textId="4C0E1E07" w:rsidR="005F4E9B" w:rsidRPr="00C34D15" w:rsidRDefault="005F4E9B" w:rsidP="005F4E9B">
            <w:pPr>
              <w:rPr>
                <w:rFonts w:ascii="Times New Roman" w:hAnsi="Times New Roman" w:cs="Times New Roman"/>
                <w:sz w:val="24"/>
                <w:szCs w:val="24"/>
                <w:lang w:val="ro-MD"/>
              </w:rPr>
            </w:pPr>
            <w:r>
              <w:rPr>
                <w:rFonts w:ascii="Times New Roman" w:hAnsi="Times New Roman" w:cs="Times New Roman"/>
                <w:sz w:val="24"/>
                <w:szCs w:val="24"/>
                <w:lang w:val="ro-MD"/>
              </w:rPr>
              <w:t>6</w:t>
            </w:r>
          </w:p>
        </w:tc>
      </w:tr>
      <w:tr w:rsidR="005F4E9B" w:rsidRPr="00C34D15" w14:paraId="261A6CD2" w14:textId="639C385A" w:rsidTr="00EC129D">
        <w:trPr>
          <w:trHeight w:val="239"/>
        </w:trPr>
        <w:tc>
          <w:tcPr>
            <w:tcW w:w="2677" w:type="dxa"/>
          </w:tcPr>
          <w:p w14:paraId="7546BB15" w14:textId="15EDFCEE"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Anul de studii</w:t>
            </w:r>
          </w:p>
        </w:tc>
        <w:tc>
          <w:tcPr>
            <w:tcW w:w="2051" w:type="dxa"/>
            <w:gridSpan w:val="2"/>
          </w:tcPr>
          <w:p w14:paraId="35840E04" w14:textId="745CD3CE" w:rsidR="005F4E9B" w:rsidRPr="00C34D15" w:rsidRDefault="005F4E9B" w:rsidP="000B7EA4">
            <w:pPr>
              <w:rPr>
                <w:rFonts w:ascii="Times New Roman" w:hAnsi="Times New Roman" w:cs="Times New Roman"/>
                <w:sz w:val="24"/>
                <w:szCs w:val="24"/>
                <w:lang w:val="ro-MD"/>
              </w:rPr>
            </w:pPr>
            <w:r w:rsidRPr="00C34D15">
              <w:rPr>
                <w:rFonts w:ascii="Times New Roman" w:hAnsi="Times New Roman" w:cs="Times New Roman"/>
                <w:sz w:val="24"/>
                <w:szCs w:val="24"/>
                <w:lang w:val="ro-MD"/>
              </w:rPr>
              <w:t>II</w:t>
            </w:r>
            <w:r>
              <w:rPr>
                <w:rFonts w:ascii="Times New Roman" w:hAnsi="Times New Roman" w:cs="Times New Roman"/>
                <w:sz w:val="24"/>
                <w:szCs w:val="24"/>
                <w:lang w:val="ro-MD"/>
              </w:rPr>
              <w:t>, III</w:t>
            </w:r>
          </w:p>
        </w:tc>
        <w:tc>
          <w:tcPr>
            <w:tcW w:w="3205" w:type="dxa"/>
          </w:tcPr>
          <w:p w14:paraId="7D8BCC81" w14:textId="79D0E8B5" w:rsidR="005F4E9B" w:rsidRPr="00C34D15" w:rsidRDefault="005240DD" w:rsidP="005F4E9B">
            <w:pPr>
              <w:rPr>
                <w:rFonts w:ascii="Times New Roman" w:hAnsi="Times New Roman" w:cs="Times New Roman"/>
                <w:sz w:val="24"/>
                <w:szCs w:val="24"/>
                <w:lang w:val="ro-MD"/>
              </w:rPr>
            </w:pPr>
            <w:r>
              <w:rPr>
                <w:rFonts w:ascii="Times New Roman" w:hAnsi="Times New Roman" w:cs="Times New Roman"/>
                <w:sz w:val="24"/>
                <w:szCs w:val="24"/>
                <w:lang w:val="ro-MD"/>
              </w:rPr>
              <w:t>Semestrul</w:t>
            </w:r>
          </w:p>
        </w:tc>
        <w:tc>
          <w:tcPr>
            <w:tcW w:w="1412" w:type="dxa"/>
          </w:tcPr>
          <w:p w14:paraId="7B2AC0BD" w14:textId="4874B257" w:rsidR="005F4E9B" w:rsidRPr="00C34D15" w:rsidRDefault="005240DD" w:rsidP="005F4E9B">
            <w:pPr>
              <w:rPr>
                <w:rFonts w:ascii="Times New Roman" w:hAnsi="Times New Roman" w:cs="Times New Roman"/>
                <w:sz w:val="24"/>
                <w:szCs w:val="24"/>
                <w:lang w:val="ro-MD"/>
              </w:rPr>
            </w:pPr>
            <w:r>
              <w:rPr>
                <w:rFonts w:ascii="Times New Roman" w:hAnsi="Times New Roman" w:cs="Times New Roman"/>
                <w:sz w:val="24"/>
                <w:szCs w:val="24"/>
                <w:lang w:val="ro-MD"/>
              </w:rPr>
              <w:t>IV/V</w:t>
            </w:r>
          </w:p>
        </w:tc>
      </w:tr>
      <w:tr w:rsidR="005240DD" w:rsidRPr="00C34D15" w14:paraId="7479CA76" w14:textId="77777777" w:rsidTr="00EC129D">
        <w:trPr>
          <w:trHeight w:val="195"/>
        </w:trPr>
        <w:tc>
          <w:tcPr>
            <w:tcW w:w="2677" w:type="dxa"/>
            <w:vMerge w:val="restart"/>
          </w:tcPr>
          <w:p w14:paraId="05D1506D" w14:textId="4D99C5E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Numărul de ore</w:t>
            </w:r>
          </w:p>
        </w:tc>
        <w:tc>
          <w:tcPr>
            <w:tcW w:w="1288" w:type="dxa"/>
          </w:tcPr>
          <w:p w14:paraId="4A0710C2" w14:textId="6729DA5B"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Curs</w:t>
            </w:r>
          </w:p>
        </w:tc>
        <w:tc>
          <w:tcPr>
            <w:tcW w:w="763" w:type="dxa"/>
          </w:tcPr>
          <w:p w14:paraId="090F77B1" w14:textId="3E4AC307"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c>
          <w:tcPr>
            <w:tcW w:w="3205" w:type="dxa"/>
          </w:tcPr>
          <w:p w14:paraId="0C1AADEF" w14:textId="65A14F8A" w:rsidR="005240DD" w:rsidRPr="005240DD" w:rsidRDefault="005240DD" w:rsidP="005240DD">
            <w:pPr>
              <w:rPr>
                <w:rFonts w:ascii="Times New Roman" w:hAnsi="Times New Roman" w:cs="Times New Roman"/>
                <w:sz w:val="24"/>
                <w:szCs w:val="24"/>
                <w:lang w:val="ro-MD"/>
              </w:rPr>
            </w:pPr>
            <w:r w:rsidRPr="005240DD">
              <w:rPr>
                <w:rFonts w:ascii="Times New Roman" w:hAnsi="Times New Roman" w:cs="Times New Roman"/>
                <w:sz w:val="24"/>
                <w:szCs w:val="24"/>
                <w:lang w:val="ro-MD"/>
              </w:rPr>
              <w:t>Lucrări practice</w:t>
            </w:r>
            <w:r w:rsidR="00EC129D">
              <w:rPr>
                <w:rFonts w:ascii="Times New Roman" w:hAnsi="Times New Roman" w:cs="Times New Roman"/>
                <w:sz w:val="24"/>
                <w:szCs w:val="24"/>
                <w:lang w:val="ro-MD"/>
              </w:rPr>
              <w:t>/de laborator</w:t>
            </w:r>
          </w:p>
        </w:tc>
        <w:tc>
          <w:tcPr>
            <w:tcW w:w="1412" w:type="dxa"/>
          </w:tcPr>
          <w:p w14:paraId="768F59ED" w14:textId="33C85255"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r>
      <w:tr w:rsidR="005240DD" w:rsidRPr="00C34D15" w14:paraId="454D45E0" w14:textId="77777777" w:rsidTr="00EC129D">
        <w:trPr>
          <w:trHeight w:val="195"/>
        </w:trPr>
        <w:tc>
          <w:tcPr>
            <w:tcW w:w="2677" w:type="dxa"/>
            <w:vMerge/>
          </w:tcPr>
          <w:p w14:paraId="2B8827A7" w14:textId="77777777" w:rsidR="005240DD" w:rsidRDefault="005240DD" w:rsidP="005240DD">
            <w:pPr>
              <w:rPr>
                <w:rFonts w:ascii="Times New Roman" w:hAnsi="Times New Roman" w:cs="Times New Roman"/>
                <w:sz w:val="24"/>
                <w:szCs w:val="24"/>
                <w:lang w:val="ro-MD"/>
              </w:rPr>
            </w:pPr>
          </w:p>
        </w:tc>
        <w:tc>
          <w:tcPr>
            <w:tcW w:w="1288" w:type="dxa"/>
          </w:tcPr>
          <w:p w14:paraId="2165F422" w14:textId="74566B5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Seminare</w:t>
            </w:r>
          </w:p>
        </w:tc>
        <w:tc>
          <w:tcPr>
            <w:tcW w:w="763" w:type="dxa"/>
          </w:tcPr>
          <w:p w14:paraId="14AF5D6A" w14:textId="5528C56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c>
          <w:tcPr>
            <w:tcW w:w="3205" w:type="dxa"/>
          </w:tcPr>
          <w:p w14:paraId="5F53743F" w14:textId="4B97A0B3" w:rsidR="005240DD" w:rsidRPr="005240DD" w:rsidRDefault="005240DD" w:rsidP="005240DD">
            <w:pPr>
              <w:rPr>
                <w:rFonts w:ascii="Times New Roman" w:hAnsi="Times New Roman" w:cs="Times New Roman"/>
                <w:sz w:val="24"/>
                <w:szCs w:val="24"/>
                <w:lang w:val="ro-MD"/>
              </w:rPr>
            </w:pPr>
            <w:r w:rsidRPr="005240DD">
              <w:rPr>
                <w:rFonts w:ascii="Times New Roman" w:hAnsi="Times New Roman" w:cs="Times New Roman"/>
                <w:sz w:val="24"/>
                <w:szCs w:val="24"/>
                <w:lang w:val="ro-MD"/>
              </w:rPr>
              <w:t>Lucrul individual</w:t>
            </w:r>
          </w:p>
        </w:tc>
        <w:tc>
          <w:tcPr>
            <w:tcW w:w="1412" w:type="dxa"/>
          </w:tcPr>
          <w:p w14:paraId="1F9F820F" w14:textId="10C1443B"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45/45</w:t>
            </w:r>
          </w:p>
        </w:tc>
      </w:tr>
      <w:tr w:rsidR="005240DD" w:rsidRPr="00C34D15" w14:paraId="177E7504" w14:textId="77777777" w:rsidTr="005240DD">
        <w:tc>
          <w:tcPr>
            <w:tcW w:w="2677" w:type="dxa"/>
          </w:tcPr>
          <w:p w14:paraId="5ECD850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Componenta</w:t>
            </w:r>
          </w:p>
        </w:tc>
        <w:tc>
          <w:tcPr>
            <w:tcW w:w="6668" w:type="dxa"/>
            <w:gridSpan w:val="4"/>
          </w:tcPr>
          <w:p w14:paraId="0D768950" w14:textId="003C6494"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iCs/>
                <w:sz w:val="24"/>
                <w:szCs w:val="24"/>
                <w:lang w:val="ro-MD"/>
              </w:rPr>
              <w:t>Fundamentală</w:t>
            </w:r>
          </w:p>
        </w:tc>
      </w:tr>
      <w:tr w:rsidR="005240DD" w:rsidRPr="00C34D15" w14:paraId="592125E0" w14:textId="77777777" w:rsidTr="005240DD">
        <w:tc>
          <w:tcPr>
            <w:tcW w:w="2677" w:type="dxa"/>
          </w:tcPr>
          <w:p w14:paraId="695BE1B5"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Titularul de curs</w:t>
            </w:r>
          </w:p>
        </w:tc>
        <w:tc>
          <w:tcPr>
            <w:tcW w:w="6668" w:type="dxa"/>
            <w:gridSpan w:val="4"/>
          </w:tcPr>
          <w:p w14:paraId="04EED2FF" w14:textId="06D989F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Melnic Eugen</w:t>
            </w:r>
          </w:p>
        </w:tc>
      </w:tr>
      <w:tr w:rsidR="005240DD" w:rsidRPr="00EC129D" w14:paraId="61CD61A4" w14:textId="77777777" w:rsidTr="005240DD">
        <w:tc>
          <w:tcPr>
            <w:tcW w:w="2677" w:type="dxa"/>
          </w:tcPr>
          <w:p w14:paraId="67B6E6C7"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 xml:space="preserve">Locația </w:t>
            </w:r>
          </w:p>
        </w:tc>
        <w:tc>
          <w:tcPr>
            <w:tcW w:w="6668" w:type="dxa"/>
            <w:gridSpan w:val="4"/>
          </w:tcPr>
          <w:p w14:paraId="6EC0496A" w14:textId="445C8DA3"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Adresa catedrei: str. N. Testemițanu 27. Adresa bazei clinice: str. N. Testemițanu 29.</w:t>
            </w:r>
          </w:p>
        </w:tc>
      </w:tr>
      <w:tr w:rsidR="005240DD" w:rsidRPr="00EC129D" w14:paraId="194923D1" w14:textId="77777777" w:rsidTr="005240DD">
        <w:tc>
          <w:tcPr>
            <w:tcW w:w="2677" w:type="dxa"/>
            <w:vMerge w:val="restart"/>
          </w:tcPr>
          <w:p w14:paraId="1F27AD6B"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Condiționări și exigențe prealabile de:</w:t>
            </w:r>
          </w:p>
          <w:p w14:paraId="5034975F"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6D34AFCC" w14:textId="2AEB9691" w:rsidR="005240DD" w:rsidRPr="00C34D15" w:rsidRDefault="005240DD" w:rsidP="005240DD">
            <w:pPr>
              <w:jc w:val="both"/>
              <w:rPr>
                <w:rFonts w:ascii="Times New Roman" w:hAnsi="Times New Roman" w:cs="Times New Roman"/>
                <w:sz w:val="24"/>
                <w:szCs w:val="24"/>
                <w:lang w:val="ro-MD"/>
              </w:rPr>
            </w:pPr>
            <w:r w:rsidRPr="00C34D15">
              <w:rPr>
                <w:rFonts w:ascii="Times New Roman" w:hAnsi="Times New Roman" w:cs="Times New Roman"/>
                <w:iCs/>
                <w:sz w:val="24"/>
                <w:szCs w:val="24"/>
                <w:lang w:val="ro-MD"/>
              </w:rPr>
              <w:t xml:space="preserve">Program: </w:t>
            </w:r>
            <w:r w:rsidRPr="00C34D15">
              <w:rPr>
                <w:rFonts w:ascii="Times New Roman" w:hAnsi="Times New Roman" w:cs="Times New Roman"/>
                <w:sz w:val="24"/>
                <w:szCs w:val="24"/>
                <w:lang w:val="ro-MD"/>
              </w:rPr>
              <w:t>discipline recomandabile de a fi trecute anterior: anatomi</w:t>
            </w:r>
            <w:r>
              <w:rPr>
                <w:rFonts w:ascii="Times New Roman" w:hAnsi="Times New Roman" w:cs="Times New Roman"/>
                <w:sz w:val="24"/>
                <w:szCs w:val="24"/>
                <w:lang w:val="ro-MD"/>
              </w:rPr>
              <w:t>a omului, biologia moleculară, histologia, genetica umană, biochimia, fiziologia omului.</w:t>
            </w:r>
          </w:p>
        </w:tc>
      </w:tr>
      <w:tr w:rsidR="005240DD" w:rsidRPr="00EC129D" w14:paraId="03CA71E9" w14:textId="77777777" w:rsidTr="005240DD">
        <w:tc>
          <w:tcPr>
            <w:tcW w:w="2677" w:type="dxa"/>
            <w:vMerge/>
          </w:tcPr>
          <w:p w14:paraId="25EFC266"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0094A076" w14:textId="6CCE7E53" w:rsidR="005240DD" w:rsidRPr="005F4E9B" w:rsidRDefault="005240DD" w:rsidP="005240DD">
            <w:pPr>
              <w:pStyle w:val="aa"/>
              <w:jc w:val="both"/>
              <w:rPr>
                <w:rFonts w:cs="Times New Roman"/>
                <w:b/>
                <w:lang w:val="ro-MD"/>
              </w:rPr>
            </w:pPr>
            <w:r w:rsidRPr="005F4E9B">
              <w:rPr>
                <w:rFonts w:cs="Times New Roman"/>
                <w:b/>
                <w:lang w:val="ro-MD"/>
              </w:rPr>
              <w:t>Competențe profesionale (CP):</w:t>
            </w:r>
          </w:p>
          <w:p w14:paraId="194B70C6"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CP1. Executarea responsabilă a sarcinilor profesionale cu aplicarea valorilor și normelor eticii profesionale, precum și prevederilor legislației în vigoare;</w:t>
            </w:r>
          </w:p>
          <w:p w14:paraId="60E94D0F"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CP2. Cunoașterea adecvată a științelor despre structura organismului, funcțiile fiziologice și comportamentul organismului uman în diverse stări fiziologice și patologice, cât și a relațiilor existente între starea de sănătate, mediul fizic și cel social;</w:t>
            </w:r>
          </w:p>
          <w:p w14:paraId="5904F28B"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CP5. Integrarea interdisciplinară a activității medicului în echipă cu utilizarea eficientă a tuturor resurselor;</w:t>
            </w:r>
          </w:p>
          <w:p w14:paraId="56D56451"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CP6. Efectuarea cercetărilor științifice în domeniul sănătății și în alte ramuri ale științei.</w:t>
            </w:r>
          </w:p>
          <w:p w14:paraId="274297C3" w14:textId="77777777" w:rsidR="005240DD" w:rsidRPr="005F4E9B" w:rsidRDefault="005240DD" w:rsidP="005240DD">
            <w:pPr>
              <w:pStyle w:val="aa"/>
              <w:jc w:val="both"/>
              <w:rPr>
                <w:rFonts w:eastAsia="Times New Roman" w:cs="Times New Roman"/>
                <w:color w:val="000000"/>
                <w:kern w:val="0"/>
                <w:lang w:val="ro-MD" w:eastAsia="en-US" w:bidi="ar-SA"/>
              </w:rPr>
            </w:pPr>
            <w:r w:rsidRPr="005F4E9B">
              <w:rPr>
                <w:rFonts w:eastAsia="Times New Roman" w:cs="Times New Roman"/>
                <w:color w:val="000000"/>
                <w:kern w:val="0"/>
                <w:lang w:val="ro-MD" w:eastAsia="en-US" w:bidi="ar-SA"/>
              </w:rPr>
              <w:t xml:space="preserve">CP7. Promovarea și asigurarea prestigiului profesiei de medic și ridicarea nivelului profesional. </w:t>
            </w:r>
          </w:p>
          <w:p w14:paraId="573BE9B7" w14:textId="308203D3" w:rsidR="005240DD" w:rsidRPr="005F4E9B" w:rsidRDefault="005240DD" w:rsidP="005240DD">
            <w:pPr>
              <w:pStyle w:val="aa"/>
              <w:jc w:val="both"/>
              <w:rPr>
                <w:rFonts w:cs="Times New Roman"/>
                <w:b/>
                <w:lang w:val="ro-MD"/>
              </w:rPr>
            </w:pPr>
            <w:r w:rsidRPr="005F4E9B">
              <w:rPr>
                <w:rFonts w:cs="Times New Roman"/>
                <w:b/>
                <w:lang w:val="ro-MD"/>
              </w:rPr>
              <w:t>Competențe transversale (</w:t>
            </w:r>
            <w:r w:rsidRPr="005F4E9B">
              <w:rPr>
                <w:rFonts w:cs="Times New Roman"/>
                <w:b/>
                <w:caps/>
                <w:lang w:val="ro-MD"/>
              </w:rPr>
              <w:t>ct</w:t>
            </w:r>
            <w:r w:rsidRPr="005F4E9B">
              <w:rPr>
                <w:rFonts w:cs="Times New Roman"/>
                <w:b/>
                <w:lang w:val="ro-MD"/>
              </w:rPr>
              <w:t>):</w:t>
            </w:r>
          </w:p>
          <w:p w14:paraId="27019C00" w14:textId="48D115C3" w:rsidR="005240DD" w:rsidRPr="005F4E9B" w:rsidRDefault="005240DD" w:rsidP="005240DD">
            <w:pPr>
              <w:pStyle w:val="aa"/>
              <w:jc w:val="both"/>
              <w:rPr>
                <w:rFonts w:asciiTheme="majorHAnsi" w:hAnsiTheme="majorHAnsi"/>
                <w:b/>
                <w:lang w:val="ro-MD"/>
              </w:rPr>
            </w:pPr>
            <w:r w:rsidRPr="005F4E9B">
              <w:rPr>
                <w:rFonts w:eastAsia="Times New Roman" w:cs="Times New Roman"/>
                <w:color w:val="000000"/>
                <w:kern w:val="0"/>
                <w:lang w:val="ro-MD" w:eastAsia="en-US" w:bidi="ar-SA"/>
              </w:rPr>
              <w:t>CT1. Autonomie și responsabilitate în activitate.</w:t>
            </w:r>
          </w:p>
        </w:tc>
      </w:tr>
      <w:tr w:rsidR="005240DD" w:rsidRPr="00EC129D" w14:paraId="1FC54C13" w14:textId="77777777" w:rsidTr="005240DD">
        <w:tc>
          <w:tcPr>
            <w:tcW w:w="2677" w:type="dxa"/>
            <w:shd w:val="clear" w:color="auto" w:fill="DEEAF6" w:themeFill="accent1" w:themeFillTint="33"/>
          </w:tcPr>
          <w:p w14:paraId="0880BD2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Misiunea disciplinei</w:t>
            </w:r>
          </w:p>
        </w:tc>
        <w:tc>
          <w:tcPr>
            <w:tcW w:w="6668" w:type="dxa"/>
            <w:gridSpan w:val="4"/>
          </w:tcPr>
          <w:p w14:paraId="189B7ADE" w14:textId="43BBF917" w:rsidR="005240DD" w:rsidRPr="005F4E9B" w:rsidRDefault="005240DD" w:rsidP="005240DD">
            <w:pPr>
              <w:widowControl w:val="0"/>
              <w:spacing w:after="120" w:line="276" w:lineRule="auto"/>
              <w:ind w:firstLine="31"/>
              <w:jc w:val="both"/>
              <w:rPr>
                <w:rFonts w:asciiTheme="majorHAnsi" w:hAnsiTheme="majorHAnsi"/>
                <w:sz w:val="24"/>
                <w:szCs w:val="24"/>
                <w:lang w:val="ro-MD"/>
              </w:rPr>
            </w:pPr>
            <w:r w:rsidRPr="005F4E9B">
              <w:rPr>
                <w:rFonts w:ascii="Times New Roman" w:hAnsi="Times New Roman" w:cs="Times New Roman"/>
                <w:bCs/>
                <w:sz w:val="24"/>
                <w:szCs w:val="24"/>
                <w:lang w:val="ro-MD"/>
              </w:rPr>
              <w:t>Misiunea</w:t>
            </w:r>
            <w:r w:rsidRPr="005F4E9B">
              <w:rPr>
                <w:rFonts w:ascii="Times New Roman" w:hAnsi="Times New Roman" w:cs="Times New Roman"/>
                <w:b/>
                <w:bCs/>
                <w:sz w:val="24"/>
                <w:szCs w:val="24"/>
                <w:lang w:val="ro-MD"/>
              </w:rPr>
              <w:t xml:space="preserve"> </w:t>
            </w:r>
            <w:r w:rsidRPr="005F4E9B">
              <w:rPr>
                <w:rFonts w:ascii="Times New Roman" w:hAnsi="Times New Roman" w:cs="Times New Roman"/>
                <w:sz w:val="24"/>
                <w:szCs w:val="24"/>
                <w:lang w:val="ro-MD"/>
              </w:rPr>
              <w:t>acestui program de studii este fundamentarea cunoștințelor de anatomie patologică generală și specială necesare înțelegerii proceselor patologice în concordanță cu etiologia și mecanismele de producere a bolilor, însușirea aspectelor macroscopice și microscopice ale diferitelor categorii de leziuni. Cunoașterea și înțelegerea modalității de producere, evoluției și consecințelor leziunilor. Definirea și identificarea leziunilor după aspectele macroscopice și histopatologice. Înțelegerea necesității identificării leziunilor în contextul general de boală. Însușirea tehnicii de examinare macroscopică și histopatologică a organelor și țesuturilor. Cunoștințele obținute din studiul morfopatologiei se vor integra cu alte discipline pentru a oferi mijloace de evaluare și diagnosticare pacienților</w:t>
            </w:r>
            <w:r w:rsidRPr="005F4E9B">
              <w:rPr>
                <w:rFonts w:asciiTheme="majorHAnsi" w:hAnsiTheme="majorHAnsi"/>
                <w:sz w:val="24"/>
                <w:szCs w:val="24"/>
                <w:lang w:val="ro-MD"/>
              </w:rPr>
              <w:t>.</w:t>
            </w:r>
          </w:p>
        </w:tc>
      </w:tr>
      <w:tr w:rsidR="005240DD" w:rsidRPr="00AD1F7D" w14:paraId="71917249" w14:textId="77777777" w:rsidTr="005240DD">
        <w:tc>
          <w:tcPr>
            <w:tcW w:w="2677" w:type="dxa"/>
          </w:tcPr>
          <w:p w14:paraId="6F043BE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Tematica prezentată</w:t>
            </w:r>
          </w:p>
          <w:p w14:paraId="107C2129"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3569F0B6" w14:textId="3063093A" w:rsidR="00AD1F7D" w:rsidRPr="00AD1F7D" w:rsidRDefault="00AD1F7D" w:rsidP="005240DD">
            <w:pPr>
              <w:jc w:val="both"/>
              <w:rPr>
                <w:rFonts w:ascii="Times New Roman" w:hAnsi="Times New Roman" w:cs="Times New Roman"/>
                <w:b/>
                <w:iCs/>
                <w:color w:val="000000"/>
                <w:sz w:val="24"/>
                <w:szCs w:val="24"/>
                <w:lang w:val="ro-MD"/>
              </w:rPr>
            </w:pPr>
            <w:r w:rsidRPr="00AD1F7D">
              <w:rPr>
                <w:rFonts w:ascii="Times New Roman" w:hAnsi="Times New Roman" w:cs="Times New Roman"/>
                <w:b/>
                <w:iCs/>
                <w:color w:val="000000"/>
                <w:sz w:val="24"/>
                <w:szCs w:val="24"/>
                <w:lang w:val="ro-MD"/>
              </w:rPr>
              <w:t>Anul II</w:t>
            </w:r>
          </w:p>
          <w:p w14:paraId="658596EB" w14:textId="6A263540" w:rsidR="00AD1F7D" w:rsidRPr="00AD1F7D" w:rsidRDefault="00AD1F7D" w:rsidP="00AD1F7D">
            <w:pPr>
              <w:widowControl w:val="0"/>
              <w:spacing w:before="60" w:after="6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Introducere în morfopatologie, noțiuni despre boală, diagnostic, etiologie, patogeneză, erori medicale, iatrogenie, citopatologie, CIM. Patologia celulei. Leziunile (acumulările) intra- și extracelulare reversibile. </w:t>
            </w:r>
            <w:r w:rsidRPr="00AD1F7D">
              <w:rPr>
                <w:rFonts w:ascii="Times New Roman" w:hAnsi="Times New Roman" w:cs="Times New Roman"/>
                <w:bCs/>
                <w:sz w:val="24"/>
                <w:szCs w:val="24"/>
                <w:lang w:val="ro-MD"/>
              </w:rPr>
              <w:t xml:space="preserve">Pigmentațiile endogene și exogene. Calcinoza patologică. Amiloidoza. </w:t>
            </w:r>
            <w:r w:rsidRPr="00AD1F7D">
              <w:rPr>
                <w:rFonts w:ascii="Times New Roman" w:hAnsi="Times New Roman" w:cs="Times New Roman"/>
                <w:sz w:val="24"/>
                <w:szCs w:val="24"/>
                <w:lang w:val="ro-MD"/>
              </w:rPr>
              <w:t xml:space="preserve">Leziunile tisulare ∕ celulare ireversibile. Procesele de adaptare și compensare. Regenerarea țesuturilor. Tulburările circulației sanguine și limfatice (I). Tulburările circulației sanguine și limfatice (II). Inflamația. </w:t>
            </w:r>
            <w:r w:rsidRPr="00AD1F7D">
              <w:rPr>
                <w:rFonts w:ascii="Times New Roman" w:hAnsi="Times New Roman" w:cs="Times New Roman"/>
                <w:sz w:val="24"/>
                <w:szCs w:val="24"/>
                <w:lang w:val="ro-MD"/>
              </w:rPr>
              <w:lastRenderedPageBreak/>
              <w:t xml:space="preserve">Inflamația acută. Leziunile inflamatorii acute ale cavității orale și maxilarelor. Sialodenită acută primară și secundară. Inflamația cronică. Leziunile inflamatorii cronice ale cavității orale (granulomul periapical). Sialodenită cronică nespecifică și specifică. </w:t>
            </w:r>
            <w:r w:rsidRPr="00AD1F7D">
              <w:rPr>
                <w:rFonts w:ascii="Times New Roman" w:hAnsi="Times New Roman" w:cs="Times New Roman"/>
                <w:bCs/>
                <w:color w:val="000000" w:themeColor="text1"/>
                <w:sz w:val="24"/>
                <w:szCs w:val="24"/>
                <w:lang w:val="ro-MD"/>
              </w:rPr>
              <w:t>Chisturile odontogene și non-odontogene. Patologia articulației temporo-mandibulare</w:t>
            </w:r>
            <w:r w:rsidRPr="00AD1F7D">
              <w:rPr>
                <w:rFonts w:ascii="Times New Roman" w:hAnsi="Times New Roman" w:cs="Times New Roman"/>
                <w:sz w:val="24"/>
                <w:szCs w:val="24"/>
                <w:lang w:val="ro-MD"/>
              </w:rPr>
              <w:t xml:space="preserve">. Leziunile pseudotumorale, hiperplastice și cu potențial malign ale mucoasei cavității orale. </w:t>
            </w:r>
            <w:r w:rsidRPr="00AD1F7D">
              <w:rPr>
                <w:rFonts w:ascii="Times New Roman" w:hAnsi="Times New Roman" w:cs="Times New Roman"/>
                <w:sz w:val="24"/>
                <w:szCs w:val="24"/>
                <w:lang w:val="en-US"/>
              </w:rPr>
              <w:t xml:space="preserve">Tumori: aspecte generale. Tumorile epiteliale și mezenchimale ale țesuturilor moi ale cavității orale. </w:t>
            </w:r>
            <w:r w:rsidRPr="00AD1F7D">
              <w:rPr>
                <w:rFonts w:ascii="Times New Roman" w:hAnsi="Times New Roman" w:cs="Times New Roman"/>
                <w:sz w:val="24"/>
                <w:szCs w:val="24"/>
                <w:lang w:val="ro-MD"/>
              </w:rPr>
              <w:t xml:space="preserve">Tumorile odontogene ale maxilarelor. </w:t>
            </w:r>
            <w:r w:rsidRPr="00AD1F7D">
              <w:rPr>
                <w:rFonts w:ascii="Times New Roman" w:hAnsi="Times New Roman" w:cs="Times New Roman"/>
                <w:sz w:val="24"/>
                <w:szCs w:val="24"/>
                <w:lang w:val="en-US"/>
              </w:rPr>
              <w:t>Patologia glandelor salivare.</w:t>
            </w:r>
            <w:r w:rsidRPr="00AD1F7D">
              <w:rPr>
                <w:rFonts w:ascii="Times New Roman" w:hAnsi="Times New Roman" w:cs="Times New Roman"/>
                <w:sz w:val="24"/>
                <w:szCs w:val="24"/>
                <w:lang w:val="ro-MD"/>
              </w:rPr>
              <w:t xml:space="preserve"> Patologia sistemului hematopoietic. Leziuni roșii-cianotice și leziuni pigmentare. </w:t>
            </w:r>
            <w:r w:rsidRPr="00AD1F7D">
              <w:rPr>
                <w:rFonts w:ascii="Times New Roman" w:hAnsi="Times New Roman" w:cs="Times New Roman"/>
                <w:bCs/>
                <w:sz w:val="24"/>
                <w:szCs w:val="24"/>
                <w:lang w:val="ro-MD"/>
              </w:rPr>
              <w:t xml:space="preserve">Tumorile melanocitare ale mucoasei cavității orale. Proliferări tumorale limfoide: limfoamele Hodgkin și non-Hodgkin. </w:t>
            </w:r>
          </w:p>
          <w:p w14:paraId="05C71604" w14:textId="41A44336" w:rsidR="00AD1F7D" w:rsidRPr="00AD1F7D" w:rsidRDefault="00AD1F7D" w:rsidP="00AD1F7D">
            <w:pPr>
              <w:jc w:val="both"/>
              <w:rPr>
                <w:rFonts w:ascii="Times New Roman" w:hAnsi="Times New Roman" w:cs="Times New Roman"/>
                <w:b/>
                <w:iCs/>
                <w:color w:val="000000"/>
                <w:sz w:val="24"/>
                <w:szCs w:val="24"/>
                <w:lang w:val="ro-MD"/>
              </w:rPr>
            </w:pPr>
            <w:r w:rsidRPr="00AD1F7D">
              <w:rPr>
                <w:rFonts w:ascii="Times New Roman" w:hAnsi="Times New Roman" w:cs="Times New Roman"/>
                <w:b/>
                <w:iCs/>
                <w:color w:val="000000"/>
                <w:sz w:val="24"/>
                <w:szCs w:val="24"/>
                <w:lang w:val="ro-MD"/>
              </w:rPr>
              <w:t>Anul III</w:t>
            </w:r>
          </w:p>
          <w:p w14:paraId="0510D393" w14:textId="11D3783D" w:rsidR="005240DD" w:rsidRPr="00AD1F7D" w:rsidRDefault="00AD1F7D" w:rsidP="00AD1F7D">
            <w:pPr>
              <w:widowControl w:val="0"/>
              <w:spacing w:before="60" w:after="60"/>
              <w:ind w:left="46"/>
              <w:jc w:val="both"/>
              <w:rPr>
                <w:rFonts w:ascii="Times New Roman" w:hAnsi="Times New Roman" w:cs="Times New Roman"/>
                <w:bCs/>
                <w:sz w:val="24"/>
                <w:szCs w:val="24"/>
                <w:lang w:val="ro-MD"/>
              </w:rPr>
            </w:pPr>
            <w:r w:rsidRPr="00AD1F7D">
              <w:rPr>
                <w:rFonts w:ascii="Times New Roman" w:hAnsi="Times New Roman" w:cs="Times New Roman"/>
                <w:sz w:val="24"/>
                <w:szCs w:val="24"/>
                <w:lang w:val="ro-MD"/>
              </w:rPr>
              <w:t xml:space="preserve">Patologia dinților: Malformațiile congenitale. Leziunile carioase și necarioase ale țesuturilor dure dentare. </w:t>
            </w:r>
            <w:r w:rsidRPr="00AD1F7D">
              <w:rPr>
                <w:rFonts w:ascii="Times New Roman" w:hAnsi="Times New Roman" w:cs="Times New Roman"/>
                <w:bCs/>
                <w:color w:val="000000" w:themeColor="text1"/>
                <w:sz w:val="24"/>
                <w:szCs w:val="24"/>
                <w:lang w:val="ro-MD"/>
              </w:rPr>
              <w:t xml:space="preserve">Bolile autoimune și veziculo-buloase ale cavității orale. </w:t>
            </w:r>
            <w:r w:rsidRPr="00AD1F7D">
              <w:rPr>
                <w:rFonts w:ascii="Times New Roman" w:hAnsi="Times New Roman" w:cs="Times New Roman"/>
                <w:bCs/>
                <w:sz w:val="24"/>
                <w:szCs w:val="24"/>
                <w:lang w:val="ro-MD"/>
              </w:rPr>
              <w:t xml:space="preserve">Patologia sistemului digestiv superior. Patologia intestinală. Manifestările orale ale patologiilor intestinale. </w:t>
            </w:r>
            <w:r w:rsidRPr="00EC129D">
              <w:rPr>
                <w:rFonts w:ascii="Times New Roman" w:hAnsi="Times New Roman" w:cs="Times New Roman"/>
                <w:bCs/>
                <w:sz w:val="24"/>
                <w:szCs w:val="24"/>
                <w:lang w:val="en-US"/>
              </w:rPr>
              <w:t xml:space="preserve">Bolile ficatului, căilor biliare, colecistului și pancreasului exocrin. </w:t>
            </w:r>
            <w:r w:rsidRPr="00AD1F7D">
              <w:rPr>
                <w:rFonts w:ascii="Times New Roman" w:hAnsi="Times New Roman" w:cs="Times New Roman"/>
                <w:bCs/>
                <w:sz w:val="24"/>
                <w:szCs w:val="24"/>
                <w:lang w:val="ro-MD"/>
              </w:rPr>
              <w:t>Patologia vasculară.</w:t>
            </w:r>
            <w:r w:rsidRPr="00EC129D">
              <w:rPr>
                <w:rFonts w:ascii="Times New Roman" w:hAnsi="Times New Roman" w:cs="Times New Roman"/>
                <w:bCs/>
                <w:sz w:val="24"/>
                <w:szCs w:val="24"/>
                <w:lang w:val="en-US"/>
              </w:rPr>
              <w:t xml:space="preserve"> </w:t>
            </w:r>
            <w:r w:rsidRPr="00AD1F7D">
              <w:rPr>
                <w:rFonts w:ascii="Times New Roman" w:hAnsi="Times New Roman" w:cs="Times New Roman"/>
                <w:bCs/>
                <w:sz w:val="24"/>
                <w:szCs w:val="24"/>
                <w:lang w:val="ro-MD"/>
              </w:rPr>
              <w:t>Patologia inimii.</w:t>
            </w:r>
            <w:r w:rsidRPr="00EC129D">
              <w:rPr>
                <w:rFonts w:ascii="Times New Roman" w:hAnsi="Times New Roman" w:cs="Times New Roman"/>
                <w:bCs/>
                <w:sz w:val="24"/>
                <w:szCs w:val="24"/>
                <w:lang w:val="en-US"/>
              </w:rPr>
              <w:t xml:space="preserve"> </w:t>
            </w:r>
            <w:r w:rsidRPr="00AD1F7D">
              <w:rPr>
                <w:rFonts w:ascii="Times New Roman" w:hAnsi="Times New Roman" w:cs="Times New Roman"/>
                <w:bCs/>
                <w:sz w:val="24"/>
                <w:szCs w:val="24"/>
                <w:lang w:val="ro-MD"/>
              </w:rPr>
              <w:t>Patologia pulmonară.</w:t>
            </w:r>
            <w:r w:rsidRPr="00EC129D">
              <w:rPr>
                <w:rFonts w:ascii="Times New Roman" w:hAnsi="Times New Roman" w:cs="Times New Roman"/>
                <w:bCs/>
                <w:sz w:val="24"/>
                <w:szCs w:val="24"/>
                <w:lang w:val="en-US"/>
              </w:rPr>
              <w:t xml:space="preserve"> </w:t>
            </w:r>
            <w:r w:rsidRPr="00AD1F7D">
              <w:rPr>
                <w:rFonts w:ascii="Times New Roman" w:hAnsi="Times New Roman" w:cs="Times New Roman"/>
                <w:sz w:val="24"/>
                <w:szCs w:val="24"/>
                <w:lang w:val="ro-MD"/>
              </w:rPr>
              <w:t xml:space="preserve">Bolile infecțioase. </w:t>
            </w:r>
            <w:r w:rsidRPr="00AD1F7D">
              <w:rPr>
                <w:rFonts w:ascii="Times New Roman" w:hAnsi="Times New Roman" w:cs="Times New Roman"/>
                <w:bCs/>
                <w:sz w:val="24"/>
                <w:szCs w:val="24"/>
                <w:lang w:val="ro-MD"/>
              </w:rPr>
              <w:t>Tuberculoza.</w:t>
            </w:r>
            <w:r w:rsidRPr="00EC129D">
              <w:rPr>
                <w:rFonts w:ascii="Times New Roman" w:hAnsi="Times New Roman" w:cs="Times New Roman"/>
                <w:bCs/>
                <w:sz w:val="24"/>
                <w:szCs w:val="24"/>
                <w:lang w:val="en-US"/>
              </w:rPr>
              <w:t xml:space="preserve"> </w:t>
            </w:r>
            <w:r w:rsidRPr="00AD1F7D">
              <w:rPr>
                <w:rFonts w:ascii="Times New Roman" w:hAnsi="Times New Roman" w:cs="Times New Roman"/>
                <w:bCs/>
                <w:sz w:val="24"/>
                <w:szCs w:val="24"/>
                <w:lang w:val="ro-MD"/>
              </w:rPr>
              <w:t>Bolile rinichilor.</w:t>
            </w:r>
            <w:r w:rsidRPr="00AD1F7D">
              <w:rPr>
                <w:rFonts w:ascii="Times New Roman" w:hAnsi="Times New Roman" w:cs="Times New Roman"/>
                <w:bCs/>
                <w:sz w:val="24"/>
                <w:szCs w:val="24"/>
                <w:lang w:val="en-US"/>
              </w:rPr>
              <w:t xml:space="preserve"> </w:t>
            </w:r>
            <w:r w:rsidRPr="00AD1F7D">
              <w:rPr>
                <w:rFonts w:ascii="Times New Roman" w:hAnsi="Times New Roman" w:cs="Times New Roman"/>
                <w:bCs/>
                <w:sz w:val="24"/>
                <w:szCs w:val="24"/>
                <w:lang w:val="ro-MD"/>
              </w:rPr>
              <w:t xml:space="preserve">Patologia sistemului genital masculin. Infecțiile sexual transmisibile. Patologia vezicii urinare. Patologia organelor genitale feminine. </w:t>
            </w:r>
            <w:r w:rsidRPr="00AD1F7D">
              <w:rPr>
                <w:rFonts w:ascii="Times New Roman" w:hAnsi="Times New Roman" w:cs="Times New Roman"/>
                <w:sz w:val="24"/>
                <w:szCs w:val="24"/>
                <w:lang w:val="ro-MD"/>
              </w:rPr>
              <w:t xml:space="preserve">Patologia glandei mamare. Patologia sarcinii și lăuziei. </w:t>
            </w:r>
            <w:r w:rsidRPr="00AD1F7D">
              <w:rPr>
                <w:rFonts w:ascii="Times New Roman" w:hAnsi="Times New Roman" w:cs="Times New Roman"/>
                <w:bCs/>
                <w:sz w:val="24"/>
                <w:szCs w:val="24"/>
                <w:lang w:val="ro-MD"/>
              </w:rPr>
              <w:t>Patologia glandelor endocrine. Sepsisul: Sepsisul odontogen.</w:t>
            </w:r>
          </w:p>
        </w:tc>
      </w:tr>
      <w:tr w:rsidR="005240DD" w:rsidRPr="00EC129D" w14:paraId="34E845F6" w14:textId="77777777" w:rsidTr="005240DD">
        <w:tc>
          <w:tcPr>
            <w:tcW w:w="2677" w:type="dxa"/>
            <w:shd w:val="clear" w:color="auto" w:fill="DEEAF6" w:themeFill="accent1" w:themeFillTint="33"/>
          </w:tcPr>
          <w:p w14:paraId="73DA4A16"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lastRenderedPageBreak/>
              <w:t>Finalități de studiu</w:t>
            </w:r>
          </w:p>
          <w:p w14:paraId="185919AB"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198CE557"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capacitatea de a analiza legitățile dezvoltării leziunilor structurale ale organelor și sistemelor de organe, aplicând cunoștințele anatomo-fiziologice fundamentale, metodele moderne clinico-morfologice și de laborator în scopul stabilirii diagnosticului morfologic oportun al diferitelor afecțiuni și procese patologice.</w:t>
            </w:r>
          </w:p>
          <w:p w14:paraId="2D5D97E7"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abilități de corelare a leziunilor morfologice cu datele clinice.</w:t>
            </w:r>
          </w:p>
          <w:p w14:paraId="05CAD961"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profesionalism și standarde etice înalte în toate aspectele legate de practica medicala, in special competenta, onestitate, integritate, empatie, respect față de ceilalți, responsabilitate profesională și socială.</w:t>
            </w:r>
          </w:p>
          <w:p w14:paraId="2D3A6959" w14:textId="0F4C865A" w:rsidR="005240DD" w:rsidRP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capacitatea de a dobândi noi informații și date și să aprecieze critic validitatea și aplicabilitatea acestora la luarea deciziilor profesionale, inclusiv aplicarea tehnologiilor informaționale pentru susținerea clinică de luare a deciziilor.</w:t>
            </w:r>
          </w:p>
        </w:tc>
      </w:tr>
      <w:tr w:rsidR="005240DD" w:rsidRPr="00EC129D" w14:paraId="663BC3B6" w14:textId="77777777" w:rsidTr="005240DD">
        <w:tc>
          <w:tcPr>
            <w:tcW w:w="2677" w:type="dxa"/>
          </w:tcPr>
          <w:p w14:paraId="4DD0C4E9"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Manopere practice achiziționate</w:t>
            </w:r>
          </w:p>
          <w:p w14:paraId="5D1EF09D"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4F1D1D1B"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Însușirea metodei de descriere a leziunilor macroscopice și microscopice; </w:t>
            </w:r>
          </w:p>
          <w:p w14:paraId="3B7C9189" w14:textId="77777777" w:rsid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metodei de formulare a unui diagnostic anatomopatologic;</w:t>
            </w:r>
          </w:p>
          <w:p w14:paraId="63C2E64C" w14:textId="6F5A2DA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și utilizarea corectă a terminologiei medicale specifice         din domeniul anatomiei patologice și a citopatologiei;</w:t>
            </w:r>
          </w:p>
          <w:p w14:paraId="4709D8DC"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Aplicarea diagnosticului diferențial între diferitele tipuri de leziuni în funcție de metoda de studiu; </w:t>
            </w:r>
          </w:p>
          <w:p w14:paraId="5FD1554C"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tehnicii de recoltare a probelor pentru examen histopatologic;</w:t>
            </w:r>
          </w:p>
          <w:p w14:paraId="7CC23B98"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Conștientizarea rolului stabilirii diagnosticului anatomopatologic în urma examenului intravital,  post-mortem </w:t>
            </w:r>
            <w:r w:rsidRPr="00AD1F7D">
              <w:rPr>
                <w:rFonts w:ascii="Times New Roman" w:hAnsi="Times New Roman" w:cs="Times New Roman"/>
                <w:sz w:val="24"/>
                <w:szCs w:val="24"/>
                <w:lang w:val="ro-MD"/>
              </w:rPr>
              <w:lastRenderedPageBreak/>
              <w:t xml:space="preserve">cât și pentru și  activitățile de cercetare; </w:t>
            </w:r>
          </w:p>
          <w:p w14:paraId="42752124"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Înțelegerea necesității corelării diagnosticului anatomopatologic cu alte metode de investigație (examen ecografic, radiologic, microbiologic etc.), întrucât diagnosticul fiind în final rezultanta muncii în echipă;</w:t>
            </w:r>
          </w:p>
          <w:p w14:paraId="228543B6"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Dezvoltarea abilităților privind întocmirea și prezentarea unui referat de specialitate;</w:t>
            </w:r>
          </w:p>
          <w:p w14:paraId="0701AC4D" w14:textId="5E231F92" w:rsidR="005240DD" w:rsidRPr="00AD1F7D" w:rsidRDefault="00AD1F7D" w:rsidP="00AD1F7D">
            <w:pPr>
              <w:pStyle w:val="a5"/>
              <w:widowControl w:val="0"/>
              <w:numPr>
                <w:ilvl w:val="0"/>
                <w:numId w:val="8"/>
              </w:numPr>
              <w:ind w:left="330" w:hanging="330"/>
              <w:contextualSpacing w:val="0"/>
              <w:jc w:val="both"/>
              <w:rPr>
                <w:rFonts w:asciiTheme="majorHAnsi" w:hAnsiTheme="majorHAnsi"/>
                <w:lang w:val="ro-MD"/>
              </w:rPr>
            </w:pPr>
            <w:r w:rsidRPr="00AD1F7D">
              <w:rPr>
                <w:rFonts w:ascii="Times New Roman" w:hAnsi="Times New Roman" w:cs="Times New Roman"/>
                <w:sz w:val="24"/>
                <w:szCs w:val="24"/>
                <w:lang w:val="ro-MD"/>
              </w:rPr>
              <w:t>Conștientizarea necesității de documentare permanentă și de exersare continuă a tehnicilor însușite.</w:t>
            </w:r>
            <w:r w:rsidRPr="00254BDB">
              <w:rPr>
                <w:rFonts w:asciiTheme="majorHAnsi" w:hAnsiTheme="majorHAnsi"/>
                <w:lang w:val="ro-MD"/>
              </w:rPr>
              <w:t xml:space="preserve"> </w:t>
            </w:r>
          </w:p>
        </w:tc>
      </w:tr>
      <w:tr w:rsidR="005240DD" w:rsidRPr="00C34D15" w14:paraId="7FD99E9F" w14:textId="77777777" w:rsidTr="005240DD">
        <w:tc>
          <w:tcPr>
            <w:tcW w:w="2677" w:type="dxa"/>
            <w:shd w:val="clear" w:color="auto" w:fill="DEEAF6" w:themeFill="accent1" w:themeFillTint="33"/>
          </w:tcPr>
          <w:p w14:paraId="1DD010BC"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lastRenderedPageBreak/>
              <w:t>Forma de evaluare</w:t>
            </w:r>
          </w:p>
        </w:tc>
        <w:tc>
          <w:tcPr>
            <w:tcW w:w="6668" w:type="dxa"/>
            <w:gridSpan w:val="4"/>
          </w:tcPr>
          <w:p w14:paraId="521EBA30" w14:textId="71740DE4"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Examen</w:t>
            </w:r>
          </w:p>
        </w:tc>
      </w:tr>
    </w:tbl>
    <w:p w14:paraId="5AA73C23" w14:textId="77777777" w:rsidR="000B7EA4" w:rsidRPr="00C34D15" w:rsidRDefault="000B7EA4" w:rsidP="000B7EA4">
      <w:pPr>
        <w:rPr>
          <w:rFonts w:ascii="Times New Roman" w:hAnsi="Times New Roman" w:cs="Times New Roman"/>
          <w:sz w:val="24"/>
          <w:szCs w:val="24"/>
          <w:lang w:val="ro-MD"/>
        </w:rPr>
      </w:pPr>
    </w:p>
    <w:p w14:paraId="5CBAE6A7" w14:textId="77777777" w:rsidR="00086B9E" w:rsidRPr="00C34D15" w:rsidRDefault="00086B9E" w:rsidP="000B7EA4">
      <w:pPr>
        <w:rPr>
          <w:rFonts w:ascii="Times New Roman" w:hAnsi="Times New Roman" w:cs="Times New Roman"/>
          <w:sz w:val="24"/>
          <w:szCs w:val="24"/>
          <w:lang w:val="ro-MD"/>
        </w:rPr>
      </w:pPr>
    </w:p>
    <w:sectPr w:rsidR="00086B9E" w:rsidRPr="00C34D15" w:rsidSect="002D146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921668"/>
    <w:multiLevelType w:val="hybridMultilevel"/>
    <w:tmpl w:val="F94A1DDC"/>
    <w:lvl w:ilvl="0" w:tplc="F7D09590">
      <w:start w:val="1"/>
      <w:numFmt w:val="bullet"/>
      <w:lvlText w:val=""/>
      <w:lvlJc w:val="left"/>
      <w:pPr>
        <w:ind w:left="1146" w:hanging="360"/>
      </w:pPr>
      <w:rPr>
        <w:rFonts w:ascii="Symbol" w:hAnsi="Symbol" w:hint="default"/>
        <w:sz w:val="22"/>
        <w:szCs w:val="22"/>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2" w15:restartNumberingAfterBreak="0">
    <w:nsid w:val="189671F9"/>
    <w:multiLevelType w:val="hybridMultilevel"/>
    <w:tmpl w:val="25381A8E"/>
    <w:lvl w:ilvl="0" w:tplc="175A5C1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5B725B"/>
    <w:multiLevelType w:val="hybridMultilevel"/>
    <w:tmpl w:val="CB30A88E"/>
    <w:lvl w:ilvl="0" w:tplc="04180001">
      <w:start w:val="1"/>
      <w:numFmt w:val="bullet"/>
      <w:lvlText w:val=""/>
      <w:lvlJc w:val="left"/>
      <w:pPr>
        <w:ind w:left="1146" w:hanging="720"/>
      </w:pPr>
      <w:rPr>
        <w:rFonts w:ascii="Symbol" w:hAnsi="Symbol" w:hint="default"/>
        <w:sz w:val="22"/>
      </w:rPr>
    </w:lvl>
    <w:lvl w:ilvl="1" w:tplc="E5348E0E">
      <w:start w:val="1"/>
      <w:numFmt w:val="decimal"/>
      <w:lvlText w:val="%2."/>
      <w:lvlJc w:val="left"/>
      <w:pPr>
        <w:ind w:left="1440"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3FE0"/>
    <w:multiLevelType w:val="hybridMultilevel"/>
    <w:tmpl w:val="0E761C86"/>
    <w:lvl w:ilvl="0" w:tplc="C4B29CC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10"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16cid:durableId="316107197">
    <w:abstractNumId w:val="6"/>
  </w:num>
  <w:num w:numId="2" w16cid:durableId="1129517681">
    <w:abstractNumId w:val="10"/>
  </w:num>
  <w:num w:numId="3" w16cid:durableId="1333217549">
    <w:abstractNumId w:val="5"/>
  </w:num>
  <w:num w:numId="4" w16cid:durableId="17237332">
    <w:abstractNumId w:val="7"/>
  </w:num>
  <w:num w:numId="5" w16cid:durableId="535241538">
    <w:abstractNumId w:val="0"/>
  </w:num>
  <w:num w:numId="6" w16cid:durableId="1094277125">
    <w:abstractNumId w:val="9"/>
  </w:num>
  <w:num w:numId="7" w16cid:durableId="828441684">
    <w:abstractNumId w:val="2"/>
  </w:num>
  <w:num w:numId="8" w16cid:durableId="1517887516">
    <w:abstractNumId w:val="8"/>
  </w:num>
  <w:num w:numId="9" w16cid:durableId="1472207702">
    <w:abstractNumId w:val="3"/>
  </w:num>
  <w:num w:numId="10" w16cid:durableId="366100485">
    <w:abstractNumId w:val="4"/>
  </w:num>
  <w:num w:numId="11" w16cid:durableId="154883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6065B"/>
    <w:rsid w:val="00086B9E"/>
    <w:rsid w:val="000925E2"/>
    <w:rsid w:val="0009359B"/>
    <w:rsid w:val="000B7EA4"/>
    <w:rsid w:val="001B7667"/>
    <w:rsid w:val="001D27BC"/>
    <w:rsid w:val="001F0370"/>
    <w:rsid w:val="00216BAD"/>
    <w:rsid w:val="002D1462"/>
    <w:rsid w:val="002D6E90"/>
    <w:rsid w:val="00347E2D"/>
    <w:rsid w:val="003A3E36"/>
    <w:rsid w:val="004710AD"/>
    <w:rsid w:val="004A0DE4"/>
    <w:rsid w:val="004C1C15"/>
    <w:rsid w:val="004F27AF"/>
    <w:rsid w:val="005240DD"/>
    <w:rsid w:val="005F4E9B"/>
    <w:rsid w:val="005F63DC"/>
    <w:rsid w:val="00626E2F"/>
    <w:rsid w:val="006B7BBE"/>
    <w:rsid w:val="00741743"/>
    <w:rsid w:val="007939FF"/>
    <w:rsid w:val="007C6698"/>
    <w:rsid w:val="007D18F2"/>
    <w:rsid w:val="007D2512"/>
    <w:rsid w:val="008439CD"/>
    <w:rsid w:val="00893506"/>
    <w:rsid w:val="009478BF"/>
    <w:rsid w:val="009B44D7"/>
    <w:rsid w:val="00A56C6C"/>
    <w:rsid w:val="00AC3418"/>
    <w:rsid w:val="00AD1F7D"/>
    <w:rsid w:val="00BE6FF3"/>
    <w:rsid w:val="00C34D15"/>
    <w:rsid w:val="00CB44CC"/>
    <w:rsid w:val="00CB4918"/>
    <w:rsid w:val="00D67F6D"/>
    <w:rsid w:val="00DE099D"/>
    <w:rsid w:val="00DE53B0"/>
    <w:rsid w:val="00EC129D"/>
    <w:rsid w:val="00EE45F0"/>
    <w:rsid w:val="00EE4A85"/>
    <w:rsid w:val="00F87AA3"/>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5C6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2D1462"/>
    <w:pPr>
      <w:keepNext/>
      <w:spacing w:after="0" w:line="360" w:lineRule="auto"/>
      <w:jc w:val="center"/>
      <w:outlineLvl w:val="1"/>
    </w:pPr>
    <w:rPr>
      <w:rFonts w:ascii="Times New Roman" w:eastAsia="Times New Roman" w:hAnsi="Times New Roman" w:cs="Times New Roman"/>
      <w:b/>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99"/>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styleId="a8">
    <w:name w:val="Body Text Indent"/>
    <w:basedOn w:val="a"/>
    <w:link w:val="a9"/>
    <w:rsid w:val="000925E2"/>
    <w:pPr>
      <w:spacing w:after="0" w:line="240" w:lineRule="auto"/>
      <w:ind w:firstLine="360"/>
    </w:pPr>
    <w:rPr>
      <w:rFonts w:ascii="Times New Roman" w:eastAsia="Times New Roman" w:hAnsi="Times New Roman" w:cs="Times New Roman"/>
      <w:sz w:val="24"/>
      <w:szCs w:val="20"/>
      <w:lang w:val="ro-RO" w:eastAsia="ru-RU"/>
    </w:rPr>
  </w:style>
  <w:style w:type="character" w:customStyle="1" w:styleId="a9">
    <w:name w:val="Основной текст с отступом Знак"/>
    <w:basedOn w:val="a0"/>
    <w:link w:val="a8"/>
    <w:rsid w:val="000925E2"/>
    <w:rPr>
      <w:rFonts w:ascii="Times New Roman" w:eastAsia="Times New Roman" w:hAnsi="Times New Roman" w:cs="Times New Roman"/>
      <w:sz w:val="24"/>
      <w:szCs w:val="20"/>
      <w:lang w:val="ro-RO" w:eastAsia="ru-RU"/>
    </w:rPr>
  </w:style>
  <w:style w:type="character" w:customStyle="1" w:styleId="20">
    <w:name w:val="Заголовок 2 Знак"/>
    <w:basedOn w:val="a0"/>
    <w:link w:val="2"/>
    <w:rsid w:val="002D1462"/>
    <w:rPr>
      <w:rFonts w:ascii="Times New Roman" w:eastAsia="Times New Roman" w:hAnsi="Times New Roman" w:cs="Times New Roman"/>
      <w:b/>
      <w:bCs/>
      <w:sz w:val="28"/>
      <w:szCs w:val="24"/>
      <w:lang w:val="ro-RO" w:eastAsia="ru-RU"/>
    </w:rPr>
  </w:style>
  <w:style w:type="paragraph" w:customStyle="1" w:styleId="aa">
    <w:name w:val="Содержимое таблицы"/>
    <w:basedOn w:val="a"/>
    <w:rsid w:val="005F4E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 w:type="paragraph" w:customStyle="1" w:styleId="Default">
    <w:name w:val="Default"/>
    <w:rsid w:val="00AD1F7D"/>
    <w:pPr>
      <w:autoSpaceDE w:val="0"/>
      <w:autoSpaceDN w:val="0"/>
      <w:adjustRightInd w:val="0"/>
      <w:spacing w:after="0" w:line="240" w:lineRule="auto"/>
    </w:pPr>
    <w:rPr>
      <w:rFonts w:ascii="Times New Roman" w:eastAsia="Times New Roman" w:hAnsi="Times New Roman" w:cs="Times New Roman"/>
      <w:color w:val="000000"/>
      <w:sz w:val="24"/>
      <w:szCs w:val="24"/>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93014388">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930</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USMF</cp:lastModifiedBy>
  <cp:revision>26</cp:revision>
  <cp:lastPrinted>2021-04-05T12:21:00Z</cp:lastPrinted>
  <dcterms:created xsi:type="dcterms:W3CDTF">2021-03-31T04:51:00Z</dcterms:created>
  <dcterms:modified xsi:type="dcterms:W3CDTF">2025-03-13T13:28:00Z</dcterms:modified>
</cp:coreProperties>
</file>