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6901D" w14:textId="77777777" w:rsidR="00CD7853" w:rsidRDefault="00CD7853" w:rsidP="00CD7853">
      <w:pPr>
        <w:autoSpaceDE w:val="0"/>
        <w:autoSpaceDN w:val="0"/>
        <w:adjustRightInd w:val="0"/>
        <w:spacing w:after="0" w:line="240" w:lineRule="auto"/>
        <w:ind w:firstLine="720"/>
        <w:jc w:val="center"/>
        <w:rPr>
          <w:rFonts w:ascii="Times New Roman" w:hAnsi="Times New Roman" w:cs="Times New Roman"/>
          <w:b/>
          <w:color w:val="292526"/>
          <w:sz w:val="20"/>
          <w:szCs w:val="20"/>
        </w:rPr>
      </w:pPr>
      <w:r w:rsidRPr="00CD7853">
        <w:rPr>
          <w:rFonts w:ascii="Times New Roman" w:hAnsi="Times New Roman" w:cs="Times New Roman"/>
          <w:b/>
          <w:color w:val="292526"/>
          <w:sz w:val="20"/>
          <w:szCs w:val="20"/>
        </w:rPr>
        <w:t>PATHOPHYSIOLOGIE DU FOIE</w:t>
      </w:r>
    </w:p>
    <w:p w14:paraId="4F739242" w14:textId="77777777" w:rsidR="00CD7853" w:rsidRPr="00CD7853" w:rsidRDefault="00CD7853" w:rsidP="00CD7853">
      <w:pPr>
        <w:autoSpaceDE w:val="0"/>
        <w:autoSpaceDN w:val="0"/>
        <w:adjustRightInd w:val="0"/>
        <w:spacing w:after="0" w:line="240" w:lineRule="auto"/>
        <w:ind w:firstLine="720"/>
        <w:jc w:val="center"/>
        <w:rPr>
          <w:rFonts w:ascii="Times New Roman" w:hAnsi="Times New Roman" w:cs="Times New Roman"/>
          <w:b/>
          <w:color w:val="292526"/>
          <w:sz w:val="20"/>
          <w:szCs w:val="20"/>
        </w:rPr>
      </w:pPr>
    </w:p>
    <w:p w14:paraId="1FBED322" w14:textId="77777777" w:rsidR="007D4615" w:rsidRPr="007D4615" w:rsidRDefault="004B4D7F" w:rsidP="007D4615">
      <w:pPr>
        <w:autoSpaceDE w:val="0"/>
        <w:autoSpaceDN w:val="0"/>
        <w:adjustRightInd w:val="0"/>
        <w:spacing w:after="0" w:line="240" w:lineRule="auto"/>
        <w:ind w:firstLine="720"/>
        <w:jc w:val="both"/>
        <w:rPr>
          <w:rFonts w:ascii="Times New Roman" w:hAnsi="Times New Roman" w:cs="Times New Roman"/>
          <w:color w:val="292526"/>
          <w:sz w:val="20"/>
          <w:szCs w:val="20"/>
        </w:rPr>
      </w:pPr>
      <w:r>
        <w:rPr>
          <w:rFonts w:ascii="Times New Roman" w:hAnsi="Times New Roman" w:cs="Times New Roman"/>
          <w:noProof/>
          <w:color w:val="292526"/>
          <w:sz w:val="20"/>
          <w:szCs w:val="20"/>
          <w:lang w:val="en-GB" w:eastAsia="en-GB"/>
        </w:rPr>
        <w:drawing>
          <wp:inline distT="0" distB="0" distL="0" distR="0" wp14:anchorId="2C253CE5" wp14:editId="2B9DD4CA">
            <wp:extent cx="475414" cy="360609"/>
            <wp:effectExtent l="19050" t="1905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E1611F">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Le foie est le plus gros organe viscéral du corps humain, </w:t>
      </w:r>
      <w:r w:rsidR="00EE7B24">
        <w:rPr>
          <w:rFonts w:ascii="Times New Roman" w:hAnsi="Times New Roman" w:cs="Times New Roman"/>
          <w:color w:val="292526"/>
          <w:sz w:val="20"/>
          <w:szCs w:val="20"/>
        </w:rPr>
        <w:t xml:space="preserve">pesant environ 1,3 kg </w:t>
      </w:r>
      <w:r w:rsidR="007D4615" w:rsidRPr="007D4615">
        <w:rPr>
          <w:rFonts w:ascii="Times New Roman" w:hAnsi="Times New Roman" w:cs="Times New Roman"/>
          <w:color w:val="292526"/>
          <w:sz w:val="20"/>
          <w:szCs w:val="20"/>
        </w:rPr>
        <w:t xml:space="preserve">chez l'adulte. Il est situé sous le diaphragme et occupe une grande partie de </w:t>
      </w:r>
      <w:r w:rsidR="007D4615">
        <w:rPr>
          <w:rFonts w:ascii="Times New Roman" w:hAnsi="Times New Roman" w:cs="Times New Roman"/>
          <w:color w:val="292526"/>
          <w:sz w:val="20"/>
          <w:szCs w:val="20"/>
        </w:rPr>
        <w:t>l'hypochondre droit</w:t>
      </w:r>
      <w:r w:rsidR="007D4615" w:rsidRPr="007D4615">
        <w:rPr>
          <w:rFonts w:ascii="Times New Roman" w:hAnsi="Times New Roman" w:cs="Times New Roman"/>
          <w:color w:val="292526"/>
          <w:sz w:val="20"/>
          <w:szCs w:val="20"/>
        </w:rPr>
        <w:t xml:space="preserve">. Le foie est entouré </w:t>
      </w:r>
      <w:r w:rsidR="007D4615">
        <w:rPr>
          <w:rFonts w:ascii="Times New Roman" w:hAnsi="Times New Roman" w:cs="Times New Roman"/>
          <w:color w:val="292526"/>
          <w:sz w:val="20"/>
          <w:szCs w:val="20"/>
        </w:rPr>
        <w:t xml:space="preserve">d'une </w:t>
      </w:r>
      <w:r w:rsidR="007D4615" w:rsidRPr="007D4615">
        <w:rPr>
          <w:rFonts w:ascii="Times New Roman" w:hAnsi="Times New Roman" w:cs="Times New Roman"/>
          <w:color w:val="292526"/>
          <w:sz w:val="20"/>
          <w:szCs w:val="20"/>
        </w:rPr>
        <w:t>capsule</w:t>
      </w:r>
      <w:r w:rsidR="007D4615">
        <w:rPr>
          <w:rFonts w:ascii="Times New Roman" w:hAnsi="Times New Roman" w:cs="Times New Roman"/>
          <w:color w:val="292526"/>
          <w:sz w:val="20"/>
          <w:szCs w:val="20"/>
        </w:rPr>
        <w:t xml:space="preserve"> fibro-élastique résistante </w:t>
      </w:r>
      <w:r w:rsidR="007D4615" w:rsidRPr="007D4615">
        <w:rPr>
          <w:rFonts w:ascii="Times New Roman" w:hAnsi="Times New Roman" w:cs="Times New Roman"/>
          <w:color w:val="292526"/>
          <w:sz w:val="20"/>
          <w:szCs w:val="20"/>
        </w:rPr>
        <w:t xml:space="preserve">appelée </w:t>
      </w:r>
      <w:r w:rsidR="007D4615" w:rsidRPr="007D4615">
        <w:rPr>
          <w:rFonts w:ascii="Times New Roman" w:hAnsi="Times New Roman" w:cs="Times New Roman"/>
          <w:i/>
          <w:iCs/>
          <w:color w:val="292526"/>
          <w:sz w:val="20"/>
          <w:szCs w:val="20"/>
        </w:rPr>
        <w:t xml:space="preserve">capsule de Glisson. </w:t>
      </w:r>
      <w:r w:rsidR="007D4615" w:rsidRPr="007D4615">
        <w:rPr>
          <w:rFonts w:ascii="Times New Roman" w:hAnsi="Times New Roman" w:cs="Times New Roman"/>
          <w:color w:val="292526"/>
          <w:sz w:val="20"/>
          <w:szCs w:val="20"/>
        </w:rPr>
        <w:t>Le ligament falciforme, qui s'étend de la surface péritonéale de la paroi abdominale antérieure entre l'ombilic et le diaphragme, divise le foie en deux lobes, un grand lobe droit et un petit lobe gauche. Il existe deux lobes supplémentaires sur la surface viscérale du foie : les lobes caudé et carré. À l'exception de la partie située dans la région épigastrique, le foie est contenu dans la cage thoracique et, chez les personnes en bonne santé, il n'est normalement pas palpable.</w:t>
      </w:r>
    </w:p>
    <w:p w14:paraId="76B67B11" w14:textId="77777777" w:rsidR="001733AE" w:rsidRDefault="007D4615" w:rsidP="00EE7B24">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 xml:space="preserve">Le foie est unique parmi les organes abdominaux en </w:t>
      </w:r>
      <w:r w:rsidR="001733AE">
        <w:rPr>
          <w:rFonts w:ascii="Times New Roman" w:hAnsi="Times New Roman" w:cs="Times New Roman"/>
          <w:color w:val="292526"/>
          <w:sz w:val="20"/>
          <w:szCs w:val="20"/>
        </w:rPr>
        <w:t xml:space="preserve">ce qu'il dispose d'une double irrigation sanguine : </w:t>
      </w:r>
      <w:r w:rsidRPr="007D4615">
        <w:rPr>
          <w:rFonts w:ascii="Times New Roman" w:hAnsi="Times New Roman" w:cs="Times New Roman"/>
          <w:color w:val="292526"/>
          <w:sz w:val="20"/>
          <w:szCs w:val="20"/>
        </w:rPr>
        <w:t xml:space="preserve">l'artère hépatique et la veine porte. Environ 300 ml de sang par minute pénètrent dans le foie par l'artère hépatique ; 1 050 ml/minute supplémentaires y pénètrent par la veine porte, qui ne comporte pas de valve et qui transporte le sang provenant de l'estomac, de l'intestin grêle et du gros intestin, du pancréas et de la rate. Bien que le sang provenant de la veine porte ne soit pas complètement saturé en oxygène, il fournit environ 60 à 70 % des besoins en oxygène du foie. Le flux veineux sortant du foie est transporté par les veines hépatiques sans valve, qui se jettent dans la veine cave inférieure juste en dessous du diaphragme. La différence de pression entre la veine hépatique et la veine porte est normalement telle que le foie stocke environ 450 ml de sang. Ce sang peut être réinjecté dans la circulation générale pendant les périodes d'hypovolémie et de choc. En cas d'insuffisance cardiaque congestive, où la pression dans la veine cave augmente, le sang </w:t>
      </w:r>
      <w:r w:rsidR="00CD7853">
        <w:rPr>
          <w:rFonts w:ascii="Times New Roman" w:hAnsi="Times New Roman" w:cs="Times New Roman"/>
          <w:color w:val="292526"/>
          <w:sz w:val="20"/>
          <w:szCs w:val="20"/>
        </w:rPr>
        <w:t>reflue et s'accumule dans le foie.</w:t>
      </w:r>
    </w:p>
    <w:p w14:paraId="519C3276" w14:textId="77777777" w:rsidR="001733AE" w:rsidRPr="000B1210" w:rsidRDefault="001733AE" w:rsidP="001733A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0B1210">
        <w:rPr>
          <w:rFonts w:ascii="Times New Roman" w:hAnsi="Times New Roman" w:cs="Times New Roman"/>
          <w:color w:val="000000"/>
          <w:sz w:val="20"/>
          <w:szCs w:val="20"/>
        </w:rPr>
        <w:t xml:space="preserve">La terminologie de la microarchitecture hépatique repose sur deux concepts différents : </w:t>
      </w:r>
      <w:r w:rsidRPr="001733AE">
        <w:rPr>
          <w:rFonts w:ascii="Times New Roman" w:hAnsi="Times New Roman" w:cs="Times New Roman"/>
          <w:i/>
          <w:color w:val="000000"/>
          <w:sz w:val="20"/>
          <w:szCs w:val="20"/>
        </w:rPr>
        <w:t xml:space="preserve">le lobule hépatique </w:t>
      </w:r>
      <w:r w:rsidRPr="000B1210">
        <w:rPr>
          <w:rFonts w:ascii="Times New Roman" w:hAnsi="Times New Roman" w:cs="Times New Roman"/>
          <w:color w:val="000000"/>
          <w:sz w:val="20"/>
          <w:szCs w:val="20"/>
        </w:rPr>
        <w:t xml:space="preserve">et </w:t>
      </w:r>
      <w:r w:rsidRPr="001733AE">
        <w:rPr>
          <w:rFonts w:ascii="Times New Roman" w:hAnsi="Times New Roman" w:cs="Times New Roman"/>
          <w:i/>
          <w:color w:val="000000"/>
          <w:sz w:val="20"/>
          <w:szCs w:val="20"/>
        </w:rPr>
        <w:t>l'acinus hépatique</w:t>
      </w:r>
      <w:r w:rsidRPr="000B1210">
        <w:rPr>
          <w:rFonts w:ascii="Times New Roman" w:hAnsi="Times New Roman" w:cs="Times New Roman"/>
          <w:color w:val="000000"/>
          <w:sz w:val="20"/>
          <w:szCs w:val="20"/>
        </w:rPr>
        <w:t xml:space="preserve">. Selon le modèle lobulaire, le foie est divisé en </w:t>
      </w:r>
      <w:r w:rsidRPr="000B1210">
        <w:rPr>
          <w:rFonts w:ascii="Times New Roman" w:hAnsi="Times New Roman" w:cs="Times New Roman"/>
          <w:i/>
          <w:iCs/>
          <w:color w:val="000000"/>
          <w:sz w:val="20"/>
          <w:szCs w:val="20"/>
        </w:rPr>
        <w:t>lobules</w:t>
      </w:r>
      <w:r w:rsidRPr="000B1210">
        <w:rPr>
          <w:rFonts w:ascii="Times New Roman" w:hAnsi="Times New Roman" w:cs="Times New Roman"/>
          <w:color w:val="000000"/>
          <w:sz w:val="20"/>
          <w:szCs w:val="20"/>
        </w:rPr>
        <w:t xml:space="preserve"> hexagonaux de 1 à 2 mm de diamètre orientés autour des affluents terminaux de la veine hépatique </w:t>
      </w:r>
      <w:r w:rsidRPr="000B1210">
        <w:rPr>
          <w:rFonts w:ascii="Times New Roman" w:hAnsi="Times New Roman" w:cs="Times New Roman"/>
          <w:i/>
          <w:iCs/>
          <w:color w:val="000000"/>
          <w:sz w:val="20"/>
          <w:szCs w:val="20"/>
        </w:rPr>
        <w:t>(veines hépatiques terminales)</w:t>
      </w:r>
      <w:r w:rsidRPr="000B1210">
        <w:rPr>
          <w:rFonts w:ascii="Times New Roman" w:hAnsi="Times New Roman" w:cs="Times New Roman"/>
          <w:color w:val="000000"/>
          <w:sz w:val="20"/>
          <w:szCs w:val="20"/>
        </w:rPr>
        <w:t xml:space="preserve">, avec des voies portales à la périphérie du lobule. Les hépatocytes situés à proximité de la veine hépatique terminale sont appelés centrilobulaires ; ceux situés près du tractus porte sont </w:t>
      </w:r>
      <w:r w:rsidRPr="001733AE">
        <w:rPr>
          <w:rFonts w:ascii="Times New Roman" w:hAnsi="Times New Roman" w:cs="Times New Roman"/>
          <w:i/>
          <w:color w:val="000000"/>
          <w:sz w:val="20"/>
          <w:szCs w:val="20"/>
        </w:rPr>
        <w:t>périportaux</w:t>
      </w:r>
      <w:r>
        <w:rPr>
          <w:rFonts w:ascii="Times New Roman" w:hAnsi="Times New Roman" w:cs="Times New Roman"/>
          <w:color w:val="000000"/>
          <w:sz w:val="20"/>
          <w:szCs w:val="20"/>
        </w:rPr>
        <w:t>.</w:t>
      </w:r>
      <w:r w:rsidRPr="000B1210">
        <w:rPr>
          <w:rFonts w:ascii="Times New Roman" w:hAnsi="Times New Roman" w:cs="Times New Roman"/>
          <w:color w:val="000000"/>
          <w:sz w:val="20"/>
          <w:szCs w:val="20"/>
        </w:rPr>
        <w:t xml:space="preserve"> Dans le modèle acineux, les hépatocytes situés près des veines hépatiques terminales sont les apex distaux </w:t>
      </w:r>
      <w:r w:rsidRPr="000B1210">
        <w:rPr>
          <w:rFonts w:ascii="Times New Roman" w:hAnsi="Times New Roman" w:cs="Times New Roman"/>
          <w:i/>
          <w:iCs/>
          <w:color w:val="000000"/>
          <w:sz w:val="20"/>
          <w:szCs w:val="20"/>
        </w:rPr>
        <w:t>d'acinus</w:t>
      </w:r>
      <w:r w:rsidRPr="000B1210">
        <w:rPr>
          <w:rFonts w:ascii="Times New Roman" w:hAnsi="Times New Roman" w:cs="Times New Roman"/>
          <w:color w:val="000000"/>
          <w:sz w:val="20"/>
          <w:szCs w:val="20"/>
        </w:rPr>
        <w:t xml:space="preserve"> approximativement triangulaires, dont les bases sont formées par les veinules septales pénétrantes de la veine porte s'étendant </w:t>
      </w:r>
      <w:r>
        <w:rPr>
          <w:rFonts w:ascii="Times New Roman" w:hAnsi="Times New Roman" w:cs="Times New Roman"/>
          <w:color w:val="000000"/>
          <w:sz w:val="20"/>
          <w:szCs w:val="20"/>
        </w:rPr>
        <w:t xml:space="preserve">à partir des tractus portaux. </w:t>
      </w:r>
      <w:r w:rsidRPr="000B1210">
        <w:rPr>
          <w:rFonts w:ascii="Times New Roman" w:hAnsi="Times New Roman" w:cs="Times New Roman"/>
          <w:color w:val="000000"/>
          <w:sz w:val="20"/>
          <w:szCs w:val="20"/>
        </w:rPr>
        <w:t xml:space="preserve"> Dans l'acine, le parenchyme est divisé en trois zones, </w:t>
      </w:r>
      <w:r w:rsidRPr="001733AE">
        <w:rPr>
          <w:rFonts w:ascii="Times New Roman" w:hAnsi="Times New Roman" w:cs="Times New Roman"/>
          <w:i/>
          <w:color w:val="000000"/>
          <w:sz w:val="20"/>
          <w:szCs w:val="20"/>
        </w:rPr>
        <w:t xml:space="preserve">la zone 1 </w:t>
      </w:r>
      <w:r w:rsidRPr="000B1210">
        <w:rPr>
          <w:rFonts w:ascii="Times New Roman" w:hAnsi="Times New Roman" w:cs="Times New Roman"/>
          <w:color w:val="000000"/>
          <w:sz w:val="20"/>
          <w:szCs w:val="20"/>
        </w:rPr>
        <w:t xml:space="preserve">étant la plus proche de l'apport vasculaire, </w:t>
      </w:r>
      <w:r w:rsidRPr="001733AE">
        <w:rPr>
          <w:rFonts w:ascii="Times New Roman" w:hAnsi="Times New Roman" w:cs="Times New Roman"/>
          <w:i/>
          <w:color w:val="000000"/>
          <w:sz w:val="20"/>
          <w:szCs w:val="20"/>
        </w:rPr>
        <w:t xml:space="preserve">la zone 3 </w:t>
      </w:r>
      <w:r w:rsidRPr="000B1210">
        <w:rPr>
          <w:rFonts w:ascii="Times New Roman" w:hAnsi="Times New Roman" w:cs="Times New Roman"/>
          <w:color w:val="000000"/>
          <w:sz w:val="20"/>
          <w:szCs w:val="20"/>
        </w:rPr>
        <w:t xml:space="preserve">étant adjacente à la veinule hépatique terminale et la plus éloignée de l'apport sanguin afférent, et </w:t>
      </w:r>
      <w:r w:rsidRPr="001733AE">
        <w:rPr>
          <w:rFonts w:ascii="Times New Roman" w:hAnsi="Times New Roman" w:cs="Times New Roman"/>
          <w:i/>
          <w:color w:val="000000"/>
          <w:sz w:val="20"/>
          <w:szCs w:val="20"/>
        </w:rPr>
        <w:t xml:space="preserve">la zone 2 </w:t>
      </w:r>
      <w:r w:rsidRPr="000B1210">
        <w:rPr>
          <w:rFonts w:ascii="Times New Roman" w:hAnsi="Times New Roman" w:cs="Times New Roman"/>
          <w:color w:val="000000"/>
          <w:sz w:val="20"/>
          <w:szCs w:val="20"/>
        </w:rPr>
        <w:t xml:space="preserve">étant intermédiaire. Quel que soit le modèle utilisé, la zonation du parenchyme est un concept important en raison du gradient d'activité présenté par de nombreuses enzymes hépatiques et de la distribution zonale de certains types de lésions hépatiques. Si le modèle acineux décrit le mieux les relations physiologiques entre les hépatocytes et leur approvisionnement vasculaire, </w:t>
      </w:r>
      <w:r w:rsidRPr="001733AE">
        <w:rPr>
          <w:rFonts w:ascii="Times New Roman" w:hAnsi="Times New Roman" w:cs="Times New Roman"/>
          <w:iCs/>
          <w:color w:val="000000"/>
          <w:sz w:val="20"/>
          <w:szCs w:val="20"/>
        </w:rPr>
        <w:t>l'histopathologie du foie est généralement abordée sur la base d'une architecture lobulaire</w:t>
      </w:r>
      <w:r w:rsidRPr="001733AE">
        <w:rPr>
          <w:rFonts w:ascii="Times New Roman" w:hAnsi="Times New Roman" w:cs="Times New Roman"/>
          <w:color w:val="000000"/>
          <w:sz w:val="20"/>
          <w:szCs w:val="20"/>
        </w:rPr>
        <w:t>.</w:t>
      </w:r>
    </w:p>
    <w:p w14:paraId="7048B94C" w14:textId="77777777" w:rsidR="001733AE" w:rsidRPr="000B1210" w:rsidRDefault="001733AE" w:rsidP="001733AE">
      <w:pPr>
        <w:autoSpaceDE w:val="0"/>
        <w:autoSpaceDN w:val="0"/>
        <w:adjustRightInd w:val="0"/>
        <w:spacing w:after="0"/>
        <w:ind w:firstLine="720"/>
        <w:jc w:val="both"/>
        <w:rPr>
          <w:rFonts w:ascii="Times New Roman" w:hAnsi="Times New Roman" w:cs="Times New Roman"/>
          <w:b/>
          <w:bCs/>
          <w:color w:val="000000"/>
          <w:sz w:val="20"/>
          <w:szCs w:val="20"/>
        </w:rPr>
      </w:pPr>
    </w:p>
    <w:p w14:paraId="30F9900C" w14:textId="77777777" w:rsidR="001733AE"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r w:rsidRPr="001733AE">
        <w:rPr>
          <w:rFonts w:ascii="Times New Roman" w:hAnsi="Times New Roman" w:cs="Times New Roman"/>
          <w:noProof/>
          <w:color w:val="292526"/>
          <w:sz w:val="20"/>
          <w:szCs w:val="20"/>
          <w:lang w:val="en-GB" w:eastAsia="en-GB"/>
        </w:rPr>
        <w:drawing>
          <wp:inline distT="0" distB="0" distL="0" distR="0" wp14:anchorId="60F91AAE" wp14:editId="4F81621F">
            <wp:extent cx="2748761" cy="2234484"/>
            <wp:effectExtent l="19050" t="19050" r="13489" b="1341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58149" cy="2242115"/>
                    </a:xfrm>
                    <a:prstGeom prst="rect">
                      <a:avLst/>
                    </a:prstGeom>
                    <a:noFill/>
                    <a:ln w="9525">
                      <a:solidFill>
                        <a:schemeClr val="tx1"/>
                      </a:solidFill>
                      <a:miter lim="800000"/>
                      <a:headEnd/>
                      <a:tailEnd/>
                    </a:ln>
                  </pic:spPr>
                </pic:pic>
              </a:graphicData>
            </a:graphic>
          </wp:inline>
        </w:drawing>
      </w:r>
    </w:p>
    <w:p w14:paraId="7117E483" w14:textId="77777777" w:rsidR="001733AE"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p>
    <w:p w14:paraId="3CA672B8" w14:textId="77777777" w:rsidR="001733AE" w:rsidRDefault="001733AE" w:rsidP="001733AE">
      <w:pPr>
        <w:autoSpaceDE w:val="0"/>
        <w:autoSpaceDN w:val="0"/>
        <w:adjustRightInd w:val="0"/>
        <w:spacing w:after="0" w:line="240" w:lineRule="auto"/>
        <w:jc w:val="center"/>
        <w:rPr>
          <w:rFonts w:ascii="Times New Roman" w:hAnsi="Times New Roman" w:cs="Times New Roman"/>
          <w:b/>
          <w:sz w:val="17"/>
          <w:szCs w:val="17"/>
        </w:rPr>
      </w:pPr>
      <w:r w:rsidRPr="000B1210">
        <w:rPr>
          <w:rFonts w:ascii="Times New Roman" w:hAnsi="Times New Roman" w:cs="Times New Roman"/>
          <w:b/>
          <w:sz w:val="17"/>
          <w:szCs w:val="17"/>
        </w:rPr>
        <w:t>Anatomie microscopique du foie ; les deux modèles, le modèle lobulaire hépatique et le modèle acineux, sont illustrés.</w:t>
      </w:r>
    </w:p>
    <w:p w14:paraId="588BE3DE" w14:textId="77777777" w:rsidR="001733AE" w:rsidRPr="003909FF" w:rsidRDefault="001733AE" w:rsidP="003909FF">
      <w:pPr>
        <w:autoSpaceDE w:val="0"/>
        <w:autoSpaceDN w:val="0"/>
        <w:adjustRightInd w:val="0"/>
        <w:spacing w:after="0" w:line="240" w:lineRule="auto"/>
        <w:jc w:val="both"/>
        <w:rPr>
          <w:rFonts w:ascii="Times New Roman" w:eastAsia="Sabon-Roman" w:hAnsi="Times New Roman" w:cs="Times New Roman"/>
          <w:bCs/>
          <w:sz w:val="24"/>
          <w:szCs w:val="24"/>
        </w:rPr>
      </w:pPr>
      <w:r w:rsidRPr="000B1210">
        <w:rPr>
          <w:rFonts w:ascii="Times New Roman" w:hAnsi="Times New Roman" w:cs="Times New Roman"/>
          <w:b/>
          <w:sz w:val="17"/>
          <w:szCs w:val="17"/>
        </w:rPr>
        <w:t xml:space="preserve">Dans le modèle lobulaire, la veine hépatique terminale (CV) se trouve au centre d'un lobule, tandis que les voies portales (PV) se trouvent à la périphérie. Les pathologistes désignent les régions du parenchyme comme périportales et centrolobulaires. Dans le modèle acineux, sur la base du flux sanguin, trois zones peuvent être définies, la zone 1 étant la plus proche de l'apport sanguin et la zone 3 la plus éloignée. BD, canal biliaire ; HA, artère hépatique. </w:t>
      </w:r>
      <w:r w:rsidR="003909FF" w:rsidRPr="003909FF">
        <w:rPr>
          <w:rFonts w:ascii="Times New Roman" w:eastAsia="Sabon-Roman" w:hAnsi="Times New Roman" w:cs="Times New Roman"/>
          <w:bCs/>
          <w:sz w:val="20"/>
          <w:szCs w:val="20"/>
        </w:rPr>
        <w:t>(D'après Robbins-Cotran ; Pathological basis of disease)</w:t>
      </w:r>
    </w:p>
    <w:p w14:paraId="09B1B27D" w14:textId="77777777" w:rsidR="001733AE" w:rsidRPr="007D4615"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p>
    <w:p w14:paraId="01191C09" w14:textId="77777777" w:rsidR="001733AE" w:rsidRDefault="007D4615"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 xml:space="preserve">Les </w:t>
      </w:r>
      <w:r w:rsidRPr="007D4615">
        <w:rPr>
          <w:rFonts w:ascii="Times New Roman" w:hAnsi="Times New Roman" w:cs="Times New Roman"/>
          <w:i/>
          <w:iCs/>
          <w:color w:val="292526"/>
          <w:sz w:val="20"/>
          <w:szCs w:val="20"/>
        </w:rPr>
        <w:t xml:space="preserve">lobules </w:t>
      </w:r>
      <w:r w:rsidRPr="007D4615">
        <w:rPr>
          <w:rFonts w:ascii="Times New Roman" w:hAnsi="Times New Roman" w:cs="Times New Roman"/>
          <w:color w:val="292526"/>
          <w:sz w:val="20"/>
          <w:szCs w:val="20"/>
        </w:rPr>
        <w:t xml:space="preserve">sont les unités fonctionnelles du foie. Chaque lobule est une structure cylindrique mesurant environ 0,8 à 2 mm de diamètre et plusieurs millimètres de long. </w:t>
      </w:r>
      <w:r>
        <w:rPr>
          <w:rFonts w:ascii="Times New Roman" w:hAnsi="Times New Roman" w:cs="Times New Roman"/>
          <w:color w:val="292526"/>
          <w:sz w:val="20"/>
          <w:szCs w:val="20"/>
        </w:rPr>
        <w:t xml:space="preserve">Le foie </w:t>
      </w:r>
      <w:r w:rsidRPr="007D4615">
        <w:rPr>
          <w:rFonts w:ascii="Times New Roman" w:hAnsi="Times New Roman" w:cs="Times New Roman"/>
          <w:color w:val="292526"/>
          <w:sz w:val="20"/>
          <w:szCs w:val="20"/>
        </w:rPr>
        <w:t>compte environ 50 000 à 100 000 lobules</w:t>
      </w:r>
      <w:r w:rsidR="001733AE">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 Chaque lobule est organisé autour d'une </w:t>
      </w:r>
      <w:r w:rsidRPr="001733AE">
        <w:rPr>
          <w:rFonts w:ascii="Times New Roman" w:hAnsi="Times New Roman" w:cs="Times New Roman"/>
          <w:i/>
          <w:color w:val="292526"/>
          <w:sz w:val="20"/>
          <w:szCs w:val="20"/>
        </w:rPr>
        <w:t xml:space="preserve">veine centrale </w:t>
      </w:r>
      <w:r w:rsidRPr="007D4615">
        <w:rPr>
          <w:rFonts w:ascii="Times New Roman" w:hAnsi="Times New Roman" w:cs="Times New Roman"/>
          <w:color w:val="292526"/>
          <w:sz w:val="20"/>
          <w:szCs w:val="20"/>
        </w:rPr>
        <w:t xml:space="preserve">qui se jette dans les veines hépatiques, puis dans la veine cave. Les </w:t>
      </w:r>
      <w:r w:rsidRPr="007D4615">
        <w:rPr>
          <w:rFonts w:ascii="Times New Roman" w:hAnsi="Times New Roman" w:cs="Times New Roman"/>
          <w:color w:val="292526"/>
          <w:sz w:val="20"/>
          <w:szCs w:val="20"/>
        </w:rPr>
        <w:lastRenderedPageBreak/>
        <w:t>canaux biliaires terminaux et les petites branches de la veine porte et de l'artère hépatique sont situés à la périphérie du lobule. Les plaques de cellules hépatiques rayonnent de manière centrifuge à partir de la veine centrale</w:t>
      </w:r>
      <w:r>
        <w:rPr>
          <w:rFonts w:ascii="Times New Roman" w:hAnsi="Times New Roman" w:cs="Times New Roman"/>
          <w:color w:val="292526"/>
          <w:sz w:val="20"/>
          <w:szCs w:val="20"/>
        </w:rPr>
        <w:t>, comme les rayons d'une roue</w:t>
      </w:r>
      <w:r w:rsidRPr="007D4615">
        <w:rPr>
          <w:rFonts w:ascii="Times New Roman" w:hAnsi="Times New Roman" w:cs="Times New Roman"/>
          <w:color w:val="292526"/>
          <w:sz w:val="20"/>
          <w:szCs w:val="20"/>
        </w:rPr>
        <w:t xml:space="preserve">. Ces plaques d' s hépatiques sont séparées par des canaux larges et à paroi mince, appelés </w:t>
      </w:r>
      <w:r w:rsidR="001733AE">
        <w:rPr>
          <w:rFonts w:ascii="Times New Roman" w:hAnsi="Times New Roman" w:cs="Times New Roman"/>
          <w:i/>
          <w:iCs/>
          <w:color w:val="292526"/>
          <w:sz w:val="20"/>
          <w:szCs w:val="20"/>
        </w:rPr>
        <w:t xml:space="preserve">sinusoïdes, </w:t>
      </w:r>
      <w:r w:rsidRPr="007D4615">
        <w:rPr>
          <w:rFonts w:ascii="Times New Roman" w:hAnsi="Times New Roman" w:cs="Times New Roman"/>
          <w:color w:val="292526"/>
          <w:sz w:val="20"/>
          <w:szCs w:val="20"/>
        </w:rPr>
        <w:t>qui s'étendent de la périphérie du lobule à sa veine centrale. Les sinusoïdes sont alimentées en sang par la veine porte et l'artère hépatique. Comme les plaques de cellules hépatiques ne font pas plus de deux couches d'épaisseur, chaque cellule est exposée au sang qui circule dans les sinusoïdes. Ainsi, les cellules hépatiques peuvent éliminer des substances du sang ou en libérer dans le sang lorsqu'il circule dans les sinusoïdes.</w:t>
      </w:r>
    </w:p>
    <w:p w14:paraId="3B5548B5" w14:textId="77777777" w:rsidR="001733AE" w:rsidRPr="001733AE" w:rsidRDefault="001733AE" w:rsidP="001733AE">
      <w:pPr>
        <w:autoSpaceDE w:val="0"/>
        <w:autoSpaceDN w:val="0"/>
        <w:adjustRightInd w:val="0"/>
        <w:spacing w:after="0" w:line="240" w:lineRule="auto"/>
        <w:ind w:firstLine="720"/>
        <w:jc w:val="both"/>
        <w:rPr>
          <w:rFonts w:ascii="Times New Roman" w:hAnsi="Times New Roman" w:cs="Times New Roman"/>
          <w:sz w:val="20"/>
          <w:szCs w:val="20"/>
        </w:rPr>
      </w:pPr>
      <w:r w:rsidRPr="000B1210">
        <w:rPr>
          <w:rFonts w:ascii="Times New Roman" w:hAnsi="Times New Roman" w:cs="Times New Roman"/>
          <w:sz w:val="20"/>
          <w:szCs w:val="20"/>
        </w:rPr>
        <w:t xml:space="preserve">Les hépatocytes sont organisés en feuilles ou plaques cribriformes et anastomosées s'étendant des voies portales aux veines hépatiques terminales. Entre les plaques d'hépatocytes se trouvent des sinusoïdes vasculaires. Le sang traverse les sinusoïdes et sort dans les veines hépatiques terminales par de nombreux orifices dans la paroi veineuse. Les hépatocytes sont ainsi baignés des deux côtés par du sang veineux porte et artériel hépatique bien mélangé, ce qui fait des hépatocytes l'une des cellules les plus richement perfusées de l'organisme. Les sinusoïdes sont tapissées de cellules endothéliales fenêtrées et discontinues. En profondeur par rapport aux cellules endothéliales se trouve </w:t>
      </w:r>
      <w:r w:rsidRPr="000B1210">
        <w:rPr>
          <w:rFonts w:ascii="Times New Roman" w:hAnsi="Times New Roman" w:cs="Times New Roman"/>
          <w:i/>
          <w:iCs/>
          <w:sz w:val="20"/>
          <w:szCs w:val="20"/>
        </w:rPr>
        <w:t>l'espace de Disse</w:t>
      </w:r>
      <w:r w:rsidRPr="000B1210">
        <w:rPr>
          <w:rFonts w:ascii="Times New Roman" w:hAnsi="Times New Roman" w:cs="Times New Roman"/>
          <w:sz w:val="20"/>
          <w:szCs w:val="20"/>
        </w:rPr>
        <w:t xml:space="preserve">, dans lequel font saillie d'abondantes microvillosités des hépatocytes. </w:t>
      </w:r>
      <w:r w:rsidRPr="000B1210">
        <w:rPr>
          <w:rFonts w:ascii="Times New Roman" w:hAnsi="Times New Roman" w:cs="Times New Roman"/>
          <w:i/>
          <w:iCs/>
          <w:sz w:val="20"/>
          <w:szCs w:val="20"/>
        </w:rPr>
        <w:t xml:space="preserve">Des cellules </w:t>
      </w:r>
      <w:r w:rsidRPr="000B1210">
        <w:rPr>
          <w:rFonts w:ascii="Times New Roman" w:hAnsi="Times New Roman" w:cs="Times New Roman"/>
          <w:sz w:val="20"/>
          <w:szCs w:val="20"/>
        </w:rPr>
        <w:t>de</w:t>
      </w:r>
      <w:r w:rsidRPr="000B1210">
        <w:rPr>
          <w:rFonts w:ascii="Times New Roman" w:hAnsi="Times New Roman" w:cs="Times New Roman"/>
          <w:i/>
          <w:iCs/>
          <w:sz w:val="20"/>
          <w:szCs w:val="20"/>
        </w:rPr>
        <w:t xml:space="preserve"> Kupffer</w:t>
      </w:r>
      <w:r w:rsidRPr="000B1210">
        <w:rPr>
          <w:rFonts w:ascii="Times New Roman" w:hAnsi="Times New Roman" w:cs="Times New Roman"/>
          <w:sz w:val="20"/>
          <w:szCs w:val="20"/>
        </w:rPr>
        <w:t xml:space="preserve"> dispersées du système phagocytaire mononucléaire sont fixées à la face luminale des cellules endothéliales, et </w:t>
      </w:r>
      <w:r w:rsidRPr="000B1210">
        <w:rPr>
          <w:rFonts w:ascii="Times New Roman" w:hAnsi="Times New Roman" w:cs="Times New Roman"/>
          <w:i/>
          <w:iCs/>
          <w:sz w:val="20"/>
          <w:szCs w:val="20"/>
        </w:rPr>
        <w:t xml:space="preserve">des cellules stellaires hépatiques (CSH) </w:t>
      </w:r>
      <w:r w:rsidRPr="000B1210">
        <w:rPr>
          <w:rFonts w:ascii="Times New Roman" w:hAnsi="Times New Roman" w:cs="Times New Roman"/>
          <w:sz w:val="20"/>
          <w:szCs w:val="20"/>
        </w:rPr>
        <w:t xml:space="preserve">contenant des graisses se trouvent dans l'espace de Disse. Entre les hépatocytes adjacents se trouvent </w:t>
      </w:r>
      <w:r w:rsidRPr="000B1210">
        <w:rPr>
          <w:rFonts w:ascii="Times New Roman" w:hAnsi="Times New Roman" w:cs="Times New Roman"/>
          <w:i/>
          <w:iCs/>
          <w:sz w:val="20"/>
          <w:szCs w:val="20"/>
        </w:rPr>
        <w:t>les canalicules biliaires</w:t>
      </w:r>
      <w:r w:rsidRPr="000B1210">
        <w:rPr>
          <w:rFonts w:ascii="Times New Roman" w:hAnsi="Times New Roman" w:cs="Times New Roman"/>
          <w:sz w:val="20"/>
          <w:szCs w:val="20"/>
        </w:rPr>
        <w:t xml:space="preserve">, qui sont des canaux de 1 à 2 μm de diamètre, formés par des rainures dans les membranes plasmiques des hépatocytes en regard et séparés de l'espace vasculaire par des jonctions serrées. Ces canaux se jettent dans les </w:t>
      </w:r>
      <w:r w:rsidRPr="000B1210">
        <w:rPr>
          <w:rFonts w:ascii="Times New Roman" w:hAnsi="Times New Roman" w:cs="Times New Roman"/>
          <w:i/>
          <w:iCs/>
          <w:sz w:val="20"/>
          <w:szCs w:val="20"/>
        </w:rPr>
        <w:t>canaux de Hering</w:t>
      </w:r>
      <w:r w:rsidRPr="000B1210">
        <w:rPr>
          <w:rFonts w:ascii="Times New Roman" w:hAnsi="Times New Roman" w:cs="Times New Roman"/>
          <w:sz w:val="20"/>
          <w:szCs w:val="20"/>
        </w:rPr>
        <w:t xml:space="preserve">, des structures canaliculaires qui relient les canalicules biliaires aux </w:t>
      </w:r>
      <w:r w:rsidRPr="000B1210">
        <w:rPr>
          <w:rFonts w:ascii="Times New Roman" w:hAnsi="Times New Roman" w:cs="Times New Roman"/>
          <w:i/>
          <w:iCs/>
          <w:sz w:val="20"/>
          <w:szCs w:val="20"/>
        </w:rPr>
        <w:t xml:space="preserve">canalicules biliaires </w:t>
      </w:r>
      <w:r w:rsidRPr="000B1210">
        <w:rPr>
          <w:rFonts w:ascii="Times New Roman" w:hAnsi="Times New Roman" w:cs="Times New Roman"/>
          <w:sz w:val="20"/>
          <w:szCs w:val="20"/>
        </w:rPr>
        <w:t xml:space="preserve">dans la région périportale. Les canalicules se vident dans les </w:t>
      </w:r>
      <w:r w:rsidRPr="000B1210">
        <w:rPr>
          <w:rFonts w:ascii="Times New Roman" w:hAnsi="Times New Roman" w:cs="Times New Roman"/>
          <w:i/>
          <w:iCs/>
          <w:sz w:val="20"/>
          <w:szCs w:val="20"/>
        </w:rPr>
        <w:t xml:space="preserve">canaux biliaires terminaux </w:t>
      </w:r>
      <w:r w:rsidRPr="000B1210">
        <w:rPr>
          <w:rFonts w:ascii="Times New Roman" w:hAnsi="Times New Roman" w:cs="Times New Roman"/>
          <w:sz w:val="20"/>
          <w:szCs w:val="20"/>
        </w:rPr>
        <w:t>au sein des voies portales. Le foie contient également des lymphocytes, dont un nombre relativement important de cellules tueuses naturelles et de cellules NK-T.</w:t>
      </w:r>
    </w:p>
    <w:p w14:paraId="51D30D83" w14:textId="77777777" w:rsidR="007D4615" w:rsidRPr="007D4615" w:rsidRDefault="007D4615"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 xml:space="preserve">Les sinusoïdes veineux sont tapissés de deux types de cellules : les cellules endothéliales typiques et les cellules de Kupffer. </w:t>
      </w:r>
      <w:r w:rsidRPr="007D4615">
        <w:rPr>
          <w:rFonts w:ascii="Times New Roman" w:hAnsi="Times New Roman" w:cs="Times New Roman"/>
          <w:i/>
          <w:iCs/>
          <w:color w:val="292526"/>
          <w:sz w:val="20"/>
          <w:szCs w:val="20"/>
        </w:rPr>
        <w:t xml:space="preserve">Les cellules de Kupffer </w:t>
      </w:r>
      <w:r w:rsidRPr="007D4615">
        <w:rPr>
          <w:rFonts w:ascii="Times New Roman" w:hAnsi="Times New Roman" w:cs="Times New Roman"/>
          <w:color w:val="292526"/>
          <w:sz w:val="20"/>
          <w:szCs w:val="20"/>
        </w:rPr>
        <w:t>sont des cellules réticulo-endothéliales capables d'éliminer et de phagocyter les cellules sanguines anciennes et défectueuses, les bactéries et autres corps étrangers présents dans le sang porte qui circule dans les sinusoïdes. Cette action phagocytaire élimine les bacilles entériques et autres substances nocives qui s'infiltrent dans le sang à partir de l'intestin.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Les lobules sont également alimentés par de petits canaux tubulaires, appelés </w:t>
      </w:r>
      <w:r w:rsidRPr="007D4615">
        <w:rPr>
          <w:rFonts w:ascii="Times New Roman" w:hAnsi="Times New Roman" w:cs="Times New Roman"/>
          <w:i/>
          <w:iCs/>
          <w:color w:val="292526"/>
          <w:sz w:val="20"/>
          <w:szCs w:val="20"/>
        </w:rPr>
        <w:t xml:space="preserve">canalicules biliaires, </w:t>
      </w:r>
      <w:r w:rsidRPr="007D4615">
        <w:rPr>
          <w:rFonts w:ascii="Times New Roman" w:hAnsi="Times New Roman" w:cs="Times New Roman"/>
          <w:color w:val="292526"/>
          <w:sz w:val="20"/>
          <w:szCs w:val="20"/>
        </w:rPr>
        <w:t xml:space="preserve">qui se trouvent entre les membranes cellulaires des hépatocytes adjacents. La bile produite par les hépatocytes s'écoule dans les canalicules, puis vers la périphérie des lobules, qui se drainent dans des canaux de plus en plus grands, jusqu'à atteindre les canaux hépatiques droit et gauche. Les canaux biliaires intrahépatiques et extrahépatiques sont souvent appelés collectivement « </w:t>
      </w:r>
      <w:r w:rsidRPr="007D4615">
        <w:rPr>
          <w:rFonts w:ascii="Times New Roman" w:hAnsi="Times New Roman" w:cs="Times New Roman"/>
          <w:i/>
          <w:iCs/>
          <w:color w:val="292526"/>
          <w:sz w:val="20"/>
          <w:szCs w:val="20"/>
        </w:rPr>
        <w:t xml:space="preserve">arbre hépatobiliaire ». </w:t>
      </w:r>
      <w:r w:rsidRPr="007D4615">
        <w:rPr>
          <w:rFonts w:ascii="Times New Roman" w:hAnsi="Times New Roman" w:cs="Times New Roman"/>
          <w:color w:val="292526"/>
          <w:sz w:val="20"/>
          <w:szCs w:val="20"/>
        </w:rPr>
        <w:t xml:space="preserve">Les canaux hépatiques et cystiques s'unissent pour former le </w:t>
      </w:r>
      <w:r>
        <w:rPr>
          <w:rFonts w:ascii="Times New Roman" w:hAnsi="Times New Roman" w:cs="Times New Roman"/>
          <w:color w:val="292526"/>
          <w:sz w:val="20"/>
          <w:szCs w:val="20"/>
        </w:rPr>
        <w:t>canal cholédoque commun</w:t>
      </w:r>
      <w:r w:rsidRPr="007D4615">
        <w:rPr>
          <w:rFonts w:ascii="Times New Roman" w:hAnsi="Times New Roman" w:cs="Times New Roman"/>
          <w:color w:val="292526"/>
          <w:sz w:val="20"/>
          <w:szCs w:val="20"/>
        </w:rPr>
        <w:t xml:space="preserve">. Le canal cholédoque commun, qui mesure environ 10 à 15 cm de long, descend et passe derrière le pancréas pour rejoindre le duodénum descendant. Le canal pancréatique rejoint le canal commun au niveau d'un court tube dilaté appelé </w:t>
      </w:r>
      <w:r w:rsidRPr="007D4615">
        <w:rPr>
          <w:rFonts w:ascii="Times New Roman" w:hAnsi="Times New Roman" w:cs="Times New Roman"/>
          <w:i/>
          <w:iCs/>
          <w:color w:val="292526"/>
          <w:sz w:val="20"/>
          <w:szCs w:val="20"/>
        </w:rPr>
        <w:t>ampoule</w:t>
      </w:r>
      <w:r w:rsidRPr="007D4615">
        <w:rPr>
          <w:rFonts w:ascii="Times New Roman" w:hAnsi="Times New Roman" w:cs="Times New Roman"/>
          <w:color w:val="292526"/>
          <w:sz w:val="20"/>
          <w:szCs w:val="20"/>
        </w:rPr>
        <w:t xml:space="preserve"> </w:t>
      </w:r>
      <w:r w:rsidRPr="007D4615">
        <w:rPr>
          <w:rFonts w:ascii="Times New Roman" w:hAnsi="Times New Roman" w:cs="Times New Roman"/>
          <w:i/>
          <w:iCs/>
          <w:color w:val="292526"/>
          <w:sz w:val="20"/>
          <w:szCs w:val="20"/>
        </w:rPr>
        <w:t xml:space="preserve">hépatopancréatique </w:t>
      </w:r>
      <w:r w:rsidRPr="007D4615">
        <w:rPr>
          <w:rFonts w:ascii="Times New Roman" w:hAnsi="Times New Roman" w:cs="Times New Roman"/>
          <w:color w:val="292526"/>
          <w:sz w:val="20"/>
          <w:szCs w:val="20"/>
        </w:rPr>
        <w:t xml:space="preserve">(ampoule de Vater), qui se vide dans le duodénum par la papille duodénale. Le tissu musculaire à la jonction de la papille, parfois appelé </w:t>
      </w:r>
      <w:r w:rsidRPr="007D4615">
        <w:rPr>
          <w:rFonts w:ascii="Times New Roman" w:hAnsi="Times New Roman" w:cs="Times New Roman"/>
          <w:i/>
          <w:iCs/>
          <w:color w:val="292526"/>
          <w:sz w:val="20"/>
          <w:szCs w:val="20"/>
        </w:rPr>
        <w:t xml:space="preserve">sphincter d'Oddi, </w:t>
      </w:r>
      <w:r w:rsidRPr="007D4615">
        <w:rPr>
          <w:rFonts w:ascii="Times New Roman" w:hAnsi="Times New Roman" w:cs="Times New Roman"/>
          <w:color w:val="292526"/>
          <w:sz w:val="20"/>
          <w:szCs w:val="20"/>
        </w:rPr>
        <w:t>régule le flux de bile dans le duodénum. Lorsque ce sphincter est fermé, la bile retourne dans le canal commun et la vésicule biliaire.</w:t>
      </w:r>
    </w:p>
    <w:p w14:paraId="28BA4404" w14:textId="77777777" w:rsidR="007D4615" w:rsidRPr="0028522A" w:rsidRDefault="00EE7B24" w:rsidP="007D4615">
      <w:pPr>
        <w:autoSpaceDE w:val="0"/>
        <w:autoSpaceDN w:val="0"/>
        <w:adjustRightInd w:val="0"/>
        <w:spacing w:after="0" w:line="240" w:lineRule="auto"/>
        <w:ind w:firstLine="720"/>
        <w:jc w:val="both"/>
        <w:rPr>
          <w:rFonts w:ascii="Times New Roman" w:hAnsi="Times New Roman" w:cs="Times New Roman"/>
          <w:b/>
          <w:bCs/>
          <w:sz w:val="20"/>
          <w:szCs w:val="20"/>
        </w:rPr>
      </w:pPr>
      <w:r w:rsidRPr="0028522A">
        <w:rPr>
          <w:rFonts w:ascii="Times New Roman" w:hAnsi="Times New Roman" w:cs="Times New Roman"/>
          <w:b/>
          <w:bCs/>
          <w:sz w:val="20"/>
          <w:szCs w:val="20"/>
        </w:rPr>
        <w:t>Fonctions métaboliques du foie</w:t>
      </w:r>
    </w:p>
    <w:p w14:paraId="0CD016BD" w14:textId="77777777" w:rsidR="007D4615" w:rsidRPr="007D4615" w:rsidRDefault="007D4615" w:rsidP="007D4615">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 xml:space="preserve">Le foie est l'un des organes les plus polyvalents et les plus actifs du corps. Il produit la bile, métabolise les hormones et les médicaments, synthétise les protéines, le glucose et les facteurs de coagulation, stocke les vitamines et les minéraux, transforme l'ammoniac produit par la désamination des acides aminés en urée et convertit les acides gras en cétones. Le foie dégrade les nutriments en excès et les convertit en substances essentielles à l'organisme. Il fabrique des glucides à partir des protéines, convertit les sucres en graisses pouvant être stockées et échange des groupes chimiques sur les acides aminés afin qu'ils puissent être utilisés à diverses fins. Grâce à sa capacité à métaboliser les médicaments et les hormones, le foie sert d'organe excréteur. À cet égard, la bile, qui transporte les produits finaux des substances métabolisées par le foie, est très similaire à l'urine, qui transporte les déchets corporels filtrés par les reins. </w:t>
      </w:r>
    </w:p>
    <w:p w14:paraId="2604F680" w14:textId="77777777" w:rsidR="007D4615" w:rsidRPr="007D4615" w:rsidRDefault="007D4615" w:rsidP="007D4615">
      <w:pPr>
        <w:autoSpaceDE w:val="0"/>
        <w:autoSpaceDN w:val="0"/>
        <w:adjustRightInd w:val="0"/>
        <w:spacing w:after="0" w:line="240" w:lineRule="auto"/>
        <w:ind w:firstLine="720"/>
        <w:jc w:val="both"/>
        <w:rPr>
          <w:rFonts w:ascii="Times New Roman" w:hAnsi="Times New Roman" w:cs="Times New Roman"/>
          <w:b/>
          <w:bCs/>
          <w:color w:val="2563AF"/>
          <w:sz w:val="20"/>
          <w:szCs w:val="20"/>
        </w:rPr>
      </w:pPr>
      <w:r w:rsidRPr="007D4615">
        <w:rPr>
          <w:rFonts w:ascii="Times New Roman" w:hAnsi="Times New Roman" w:cs="Times New Roman"/>
          <w:bCs/>
          <w:i/>
          <w:sz w:val="20"/>
          <w:szCs w:val="20"/>
        </w:rPr>
        <w:t>Métabolisme</w:t>
      </w:r>
      <w:r w:rsidR="001733AE">
        <w:rPr>
          <w:rFonts w:ascii="Times New Roman" w:hAnsi="Times New Roman" w:cs="Times New Roman"/>
          <w:bCs/>
          <w:i/>
          <w:sz w:val="20"/>
          <w:szCs w:val="20"/>
        </w:rPr>
        <w:t xml:space="preserve"> des glucides</w:t>
      </w:r>
      <w:r>
        <w:rPr>
          <w:rFonts w:ascii="Times New Roman" w:hAnsi="Times New Roman" w:cs="Times New Roman"/>
          <w:b/>
          <w:bCs/>
          <w:color w:val="2563AF"/>
          <w:sz w:val="20"/>
          <w:szCs w:val="20"/>
        </w:rPr>
        <w:t xml:space="preserve">. </w:t>
      </w:r>
      <w:r w:rsidRPr="007D4615">
        <w:rPr>
          <w:rFonts w:ascii="Times New Roman" w:hAnsi="Times New Roman" w:cs="Times New Roman"/>
          <w:color w:val="292526"/>
          <w:sz w:val="20"/>
          <w:szCs w:val="20"/>
        </w:rPr>
        <w:t xml:space="preserve">Le foie joue un rôle essentiel dans le métabolisme des glucides et </w:t>
      </w:r>
      <w:r>
        <w:rPr>
          <w:rFonts w:ascii="Times New Roman" w:hAnsi="Times New Roman" w:cs="Times New Roman"/>
          <w:color w:val="292526"/>
          <w:sz w:val="20"/>
          <w:szCs w:val="20"/>
        </w:rPr>
        <w:t>l'homéostasie du glucose</w:t>
      </w:r>
      <w:r w:rsidRPr="007D4615">
        <w:rPr>
          <w:rFonts w:ascii="Times New Roman" w:hAnsi="Times New Roman" w:cs="Times New Roman"/>
          <w:color w:val="292526"/>
          <w:sz w:val="20"/>
          <w:szCs w:val="20"/>
        </w:rPr>
        <w:t xml:space="preserve">. Le foie stocke l'excès de glucose sous forme de glycogène </w:t>
      </w:r>
      <w:r w:rsidR="00EE7B24">
        <w:rPr>
          <w:rFonts w:ascii="Times New Roman" w:hAnsi="Times New Roman" w:cs="Times New Roman"/>
          <w:color w:val="292526"/>
          <w:sz w:val="20"/>
          <w:szCs w:val="20"/>
        </w:rPr>
        <w:t xml:space="preserve">(glycogénogenèse) </w:t>
      </w:r>
      <w:r w:rsidRPr="007D4615">
        <w:rPr>
          <w:rFonts w:ascii="Times New Roman" w:hAnsi="Times New Roman" w:cs="Times New Roman"/>
          <w:color w:val="292526"/>
          <w:sz w:val="20"/>
          <w:szCs w:val="20"/>
        </w:rPr>
        <w:t xml:space="preserve">et le libère dans la circulation lorsque le taux de glucose dans le sang diminue </w:t>
      </w:r>
      <w:r w:rsidR="00EE7B24">
        <w:rPr>
          <w:rFonts w:ascii="Times New Roman" w:hAnsi="Times New Roman" w:cs="Times New Roman"/>
          <w:color w:val="292526"/>
          <w:sz w:val="20"/>
          <w:szCs w:val="20"/>
        </w:rPr>
        <w:t>(glycogénolyse)</w:t>
      </w:r>
      <w:r w:rsidRPr="007D4615">
        <w:rPr>
          <w:rFonts w:ascii="Times New Roman" w:hAnsi="Times New Roman" w:cs="Times New Roman"/>
          <w:color w:val="292526"/>
          <w:sz w:val="20"/>
          <w:szCs w:val="20"/>
        </w:rPr>
        <w:t xml:space="preserve">. Le foie synthétise également du glucose à partir d'acides aminés, de glycérol et d'acide lactique </w:t>
      </w:r>
      <w:r w:rsidR="00EE7B24">
        <w:rPr>
          <w:rFonts w:ascii="Times New Roman" w:hAnsi="Times New Roman" w:cs="Times New Roman"/>
          <w:color w:val="292526"/>
          <w:sz w:val="20"/>
          <w:szCs w:val="20"/>
        </w:rPr>
        <w:t xml:space="preserve">(gluconéogenèse) </w:t>
      </w:r>
      <w:r w:rsidRPr="007D4615">
        <w:rPr>
          <w:rFonts w:ascii="Times New Roman" w:hAnsi="Times New Roman" w:cs="Times New Roman"/>
          <w:color w:val="292526"/>
          <w:sz w:val="20"/>
          <w:szCs w:val="20"/>
        </w:rPr>
        <w:t>afin de maintenir le taux de glucose sanguin pendant les périodes de jeûne ou de besoin accru. Le foie convertit également les glucides excédentaires en triglycérides qui sont stockés dans les tissus adipeux.</w:t>
      </w:r>
    </w:p>
    <w:p w14:paraId="27715BED" w14:textId="77777777" w:rsidR="007D4615" w:rsidRPr="007D4615" w:rsidRDefault="001733AE" w:rsidP="007D4615">
      <w:pPr>
        <w:autoSpaceDE w:val="0"/>
        <w:autoSpaceDN w:val="0"/>
        <w:adjustRightInd w:val="0"/>
        <w:spacing w:after="0" w:line="240" w:lineRule="auto"/>
        <w:ind w:firstLine="720"/>
        <w:jc w:val="both"/>
        <w:rPr>
          <w:rFonts w:ascii="Times New Roman" w:hAnsi="Times New Roman" w:cs="Times New Roman"/>
          <w:b/>
          <w:bCs/>
          <w:color w:val="2563AF"/>
          <w:sz w:val="20"/>
          <w:szCs w:val="20"/>
        </w:rPr>
      </w:pPr>
      <w:r>
        <w:rPr>
          <w:rFonts w:ascii="Times New Roman" w:hAnsi="Times New Roman" w:cs="Times New Roman"/>
          <w:bCs/>
          <w:i/>
          <w:sz w:val="20"/>
          <w:szCs w:val="20"/>
        </w:rPr>
        <w:t>Synthèse</w:t>
      </w:r>
      <w:r w:rsidR="007D4615" w:rsidRPr="007D4615">
        <w:rPr>
          <w:rFonts w:ascii="Times New Roman" w:hAnsi="Times New Roman" w:cs="Times New Roman"/>
          <w:bCs/>
          <w:i/>
          <w:sz w:val="20"/>
          <w:szCs w:val="20"/>
        </w:rPr>
        <w:t xml:space="preserve"> des protéines </w:t>
      </w:r>
      <w:r>
        <w:rPr>
          <w:rFonts w:ascii="Times New Roman" w:hAnsi="Times New Roman" w:cs="Times New Roman"/>
          <w:bCs/>
          <w:i/>
          <w:sz w:val="20"/>
          <w:szCs w:val="20"/>
        </w:rPr>
        <w:t xml:space="preserve">et conversion de l'ammoniac en </w:t>
      </w:r>
      <w:r w:rsidR="007D4615" w:rsidRPr="007D4615">
        <w:rPr>
          <w:rFonts w:ascii="Times New Roman" w:hAnsi="Times New Roman" w:cs="Times New Roman"/>
          <w:bCs/>
          <w:i/>
          <w:sz w:val="20"/>
          <w:szCs w:val="20"/>
        </w:rPr>
        <w:t>urée</w:t>
      </w:r>
      <w:r w:rsidR="007D4615">
        <w:rPr>
          <w:rFonts w:ascii="Times New Roman" w:hAnsi="Times New Roman" w:cs="Times New Roman"/>
          <w:b/>
          <w:bCs/>
          <w:color w:val="2563AF"/>
          <w:sz w:val="20"/>
          <w:szCs w:val="20"/>
        </w:rPr>
        <w:t xml:space="preserve">. </w:t>
      </w:r>
      <w:r w:rsidR="007D4615" w:rsidRPr="007D4615">
        <w:rPr>
          <w:rFonts w:ascii="Times New Roman" w:hAnsi="Times New Roman" w:cs="Times New Roman"/>
          <w:color w:val="292526"/>
          <w:sz w:val="20"/>
          <w:szCs w:val="20"/>
        </w:rPr>
        <w:t xml:space="preserve">Le foie est un site important pour la synthèse et la dégradation des protéines. Il produit les protéines nécessaires à ses propres besoins cellulaires et les protéines sécrétoires qui sont libérées dans la circulation sanguine. La plus importante de ces protéines sécrétoires est l'albumine. L'albumine contribue de manière significative à la </w:t>
      </w:r>
      <w:r w:rsidR="007D4615">
        <w:rPr>
          <w:rFonts w:ascii="Times New Roman" w:hAnsi="Times New Roman" w:cs="Times New Roman"/>
          <w:color w:val="292526"/>
          <w:sz w:val="20"/>
          <w:szCs w:val="20"/>
        </w:rPr>
        <w:t>pression osmotique</w:t>
      </w:r>
      <w:r w:rsidR="007D4615" w:rsidRPr="007D4615">
        <w:rPr>
          <w:rFonts w:ascii="Times New Roman" w:hAnsi="Times New Roman" w:cs="Times New Roman"/>
          <w:color w:val="292526"/>
          <w:sz w:val="20"/>
          <w:szCs w:val="20"/>
        </w:rPr>
        <w:t xml:space="preserve"> colloïdale du plasma et à la liaison et au transport de nombreuses substances, notamment certaines hormones et certains médicaments, les acides gras, la bilirubine et d'autres anions.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Le foie produit également d'autres protéines importantes, telles que le fibrinogène et les facteurs de coagulation sanguine. Grâce à divers processus anaboliques et cataboliques, le foie est le principal site d'interconversion des acides aminés. Ces processus impliquent deux réactions majeures : la transamination et la désamination. Lors de </w:t>
      </w:r>
      <w:r w:rsidR="007D4615" w:rsidRPr="007D4615">
        <w:rPr>
          <w:rFonts w:ascii="Times New Roman" w:hAnsi="Times New Roman" w:cs="Times New Roman"/>
          <w:i/>
          <w:iCs/>
          <w:color w:val="292526"/>
          <w:sz w:val="20"/>
          <w:szCs w:val="20"/>
        </w:rPr>
        <w:t xml:space="preserve">la </w:t>
      </w:r>
      <w:r w:rsidR="007D4615" w:rsidRPr="007D4615">
        <w:rPr>
          <w:rFonts w:ascii="Times New Roman" w:hAnsi="Times New Roman" w:cs="Times New Roman"/>
          <w:i/>
          <w:iCs/>
          <w:color w:val="292526"/>
          <w:sz w:val="20"/>
          <w:szCs w:val="20"/>
        </w:rPr>
        <w:lastRenderedPageBreak/>
        <w:t xml:space="preserve">transamination, </w:t>
      </w:r>
      <w:r w:rsidR="007D4615" w:rsidRPr="007D4615">
        <w:rPr>
          <w:rFonts w:ascii="Times New Roman" w:hAnsi="Times New Roman" w:cs="Times New Roman"/>
          <w:color w:val="292526"/>
          <w:sz w:val="20"/>
          <w:szCs w:val="20"/>
        </w:rPr>
        <w:t>un groupe amino (NH</w:t>
      </w:r>
      <w:r w:rsidR="007D4615" w:rsidRPr="00EE7B24">
        <w:rPr>
          <w:rFonts w:ascii="Times New Roman" w:hAnsi="Times New Roman" w:cs="Times New Roman"/>
          <w:color w:val="292526"/>
          <w:sz w:val="20"/>
          <w:szCs w:val="20"/>
          <w:vertAlign w:val="subscript"/>
        </w:rPr>
        <w:t>2</w:t>
      </w:r>
      <w:r w:rsidR="007D4615" w:rsidRPr="007D4615">
        <w:rPr>
          <w:rFonts w:ascii="Times New Roman" w:hAnsi="Times New Roman" w:cs="Times New Roman"/>
          <w:color w:val="292526"/>
          <w:sz w:val="20"/>
          <w:szCs w:val="20"/>
        </w:rPr>
        <w:t xml:space="preserve"> ) est transféré à une substance acceptrice. À la suite de la transamination, les acides aminés peuvent participer au métabolisme intermédiaire des glucides et des lipides. Pendant les périodes de jeûne ou de famine, les acides aminés sont utilisés pour produire du glucose (gluconéogenèse).</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La plupart des acides aminés non essentiels sont synthétisés dans le foie par transamination. Le processus de transamination est catalysé par </w:t>
      </w:r>
      <w:r w:rsidR="007D4615" w:rsidRPr="007D4615">
        <w:rPr>
          <w:rFonts w:ascii="Times New Roman" w:hAnsi="Times New Roman" w:cs="Times New Roman"/>
          <w:i/>
          <w:iCs/>
          <w:color w:val="292526"/>
          <w:sz w:val="20"/>
          <w:szCs w:val="20"/>
        </w:rPr>
        <w:t xml:space="preserve">les aminotransférases, </w:t>
      </w:r>
      <w:r w:rsidR="007D4615" w:rsidRPr="007D4615">
        <w:rPr>
          <w:rFonts w:ascii="Times New Roman" w:hAnsi="Times New Roman" w:cs="Times New Roman"/>
          <w:color w:val="292526"/>
          <w:sz w:val="20"/>
          <w:szCs w:val="20"/>
        </w:rPr>
        <w:t xml:space="preserve">des enzymes présentes en grande quantité dans le foie. </w:t>
      </w:r>
      <w:r w:rsidR="007D4615" w:rsidRPr="007D4615">
        <w:rPr>
          <w:rFonts w:ascii="Times New Roman" w:hAnsi="Times New Roman" w:cs="Times New Roman"/>
          <w:i/>
          <w:iCs/>
          <w:color w:val="292526"/>
          <w:sz w:val="20"/>
          <w:szCs w:val="20"/>
        </w:rPr>
        <w:t>La désamination</w:t>
      </w:r>
      <w:r w:rsidR="007D4615" w:rsidRPr="007D4615">
        <w:rPr>
          <w:rFonts w:ascii="Times New Roman" w:hAnsi="Times New Roman" w:cs="Times New Roman"/>
          <w:color w:val="292526"/>
          <w:sz w:val="20"/>
          <w:szCs w:val="20"/>
        </w:rPr>
        <w:t xml:space="preserve"> oxydative implique l'élimination des groupes aminés des acides aminés et la conversion des acides aminés en acides cétoniques et en ammoniac. Cela se produit principalement par transamination, dans laquelle les groupes aminés sont éliminés puis transférés à une autre substance acceptrice.</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La substance acceptrice peut ensuite transférer le groupe amino vers une autre substance ou le libérer sous forme d'ammoniac. L'ammoniac est très toxique pour les tissus corporels, en particulier les neurones. L'ammoniac libéré lors de la désamination est éliminé du sang presque immédiatement et converti en urée. Pratiquement toute l'urée formée dans l'organisme est synthétisée par le cycle de l'urée dans le foie, puis excrétée par les reins.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Bien que l'urée soit principalement excrétée par les reins, une partie se diffuse dans l'intestin, où elle est convertie en ammoniac par les bactéries entériques. La production intestinale d'ammoniac résulte également de la désamination bactérienne des acides aminés non absorbés et des protéines provenant de l'alimentation, des cellules exfoliées ou du sang dans le tractus gastro-intestinal. L'ammoniac produit dans l'intestin est absorbé dans la circulation portale et transporté vers le foie, où il est converti en urée avant d'être libéré dans la circulation systémique. La production intestinale d'ammoniac augmente après l'ingestion d'aliments riches en protéines et en cas d'hémorragie gastro-intestinale. Dans les cas de maladie hépatique avancée, la synthèse de l'urée est souvent altérée, ce qui entraîne une accumulation d'ammoniac dans le sang.</w:t>
      </w:r>
    </w:p>
    <w:p w14:paraId="42E05B41" w14:textId="77777777" w:rsidR="007D4615" w:rsidRDefault="001733AE"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1733AE">
        <w:rPr>
          <w:rFonts w:ascii="Times New Roman" w:hAnsi="Times New Roman" w:cs="Times New Roman"/>
          <w:bCs/>
          <w:i/>
          <w:sz w:val="20"/>
          <w:szCs w:val="20"/>
        </w:rPr>
        <w:t xml:space="preserve">Voies du </w:t>
      </w:r>
      <w:r w:rsidR="007D4615" w:rsidRPr="001733AE">
        <w:rPr>
          <w:rFonts w:ascii="Times New Roman" w:hAnsi="Times New Roman" w:cs="Times New Roman"/>
          <w:bCs/>
          <w:i/>
          <w:sz w:val="20"/>
          <w:szCs w:val="20"/>
        </w:rPr>
        <w:t>métabolisme</w:t>
      </w:r>
      <w:r w:rsidRPr="001733AE">
        <w:rPr>
          <w:rFonts w:ascii="Times New Roman" w:hAnsi="Times New Roman" w:cs="Times New Roman"/>
          <w:bCs/>
          <w:i/>
          <w:sz w:val="20"/>
          <w:szCs w:val="20"/>
        </w:rPr>
        <w:t xml:space="preserve"> lipidique</w:t>
      </w:r>
      <w:r w:rsidR="007E6CD0">
        <w:rPr>
          <w:rFonts w:ascii="Times New Roman" w:hAnsi="Times New Roman" w:cs="Times New Roman"/>
          <w:b/>
          <w:bCs/>
          <w:color w:val="2563AF"/>
          <w:sz w:val="20"/>
          <w:szCs w:val="20"/>
        </w:rPr>
        <w:t xml:space="preserve">. </w:t>
      </w:r>
      <w:r w:rsidR="007D4615" w:rsidRPr="007D4615">
        <w:rPr>
          <w:rFonts w:ascii="Times New Roman" w:hAnsi="Times New Roman" w:cs="Times New Roman"/>
          <w:color w:val="292526"/>
          <w:sz w:val="20"/>
          <w:szCs w:val="20"/>
        </w:rPr>
        <w:t xml:space="preserve">Bien que la plupart des cellules de l'organisme métabolisent les graisses, certains aspects du métabolisme lipidique se produisent principalement dans le foie, notamment l'oxydation des acides gras pour fournir de l'énergie à d'autres fonctions de l'organisme, la synthèse de grandes quantités de cholestérol, de phospholipides et de la plupart des lipoprotéines, ainsi que la formation de triglycérides à partir des glucides et des protéines. Pour tirer de l'énergie des graisses neutres, celles-ci doivent d'abord être scindées en </w:t>
      </w:r>
      <w:r w:rsidR="007D4615" w:rsidRPr="007E6CD0">
        <w:rPr>
          <w:rFonts w:ascii="Times New Roman" w:hAnsi="Times New Roman" w:cs="Times New Roman"/>
          <w:color w:val="292526"/>
          <w:sz w:val="20"/>
          <w:szCs w:val="20"/>
        </w:rPr>
        <w:t xml:space="preserve">glycérol et </w:t>
      </w:r>
      <w:r w:rsidR="007D4615" w:rsidRPr="007D4615">
        <w:rPr>
          <w:rFonts w:ascii="Times New Roman" w:hAnsi="Times New Roman" w:cs="Times New Roman"/>
          <w:color w:val="292526"/>
          <w:sz w:val="20"/>
          <w:szCs w:val="20"/>
        </w:rPr>
        <w:t xml:space="preserve">en </w:t>
      </w:r>
      <w:r w:rsidR="007D4615" w:rsidRPr="007E6CD0">
        <w:rPr>
          <w:rFonts w:ascii="Times New Roman" w:hAnsi="Times New Roman" w:cs="Times New Roman"/>
          <w:color w:val="292526"/>
          <w:sz w:val="20"/>
          <w:szCs w:val="20"/>
        </w:rPr>
        <w:t xml:space="preserve">acides gras, puis les acides gras sont scindés par </w:t>
      </w:r>
      <w:r w:rsidR="007D4615" w:rsidRPr="007E6CD0">
        <w:rPr>
          <w:rFonts w:ascii="Times New Roman" w:hAnsi="Times New Roman" w:cs="Times New Roman"/>
          <w:i/>
          <w:iCs/>
          <w:color w:val="292526"/>
          <w:sz w:val="20"/>
          <w:szCs w:val="20"/>
        </w:rPr>
        <w:t xml:space="preserve">bêta-oxydation </w:t>
      </w:r>
      <w:r w:rsidR="007D4615" w:rsidRPr="007E6CD0">
        <w:rPr>
          <w:rFonts w:ascii="Times New Roman" w:hAnsi="Times New Roman" w:cs="Times New Roman"/>
          <w:color w:val="292526"/>
          <w:sz w:val="20"/>
          <w:szCs w:val="20"/>
        </w:rPr>
        <w:t xml:space="preserve">en </w:t>
      </w:r>
      <w:r w:rsidR="007E6CD0" w:rsidRPr="007E6CD0">
        <w:rPr>
          <w:rFonts w:ascii="Times New Roman" w:hAnsi="Times New Roman" w:cs="Times New Roman"/>
          <w:color w:val="292526"/>
          <w:sz w:val="20"/>
          <w:szCs w:val="20"/>
        </w:rPr>
        <w:t xml:space="preserve">unités d'acétyl-coenzyme A (acétyl-CoA) </w:t>
      </w:r>
      <w:r w:rsidR="007D4615" w:rsidRPr="007E6CD0">
        <w:rPr>
          <w:rFonts w:ascii="Times New Roman" w:hAnsi="Times New Roman" w:cs="Times New Roman"/>
          <w:color w:val="292526"/>
          <w:sz w:val="20"/>
          <w:szCs w:val="20"/>
        </w:rPr>
        <w:t>à deux atomes de carbone</w:t>
      </w:r>
      <w:r w:rsidR="007E6CD0" w:rsidRPr="007E6CD0">
        <w:rPr>
          <w:rFonts w:ascii="Times New Roman" w:hAnsi="Times New Roman" w:cs="Times New Roman"/>
          <w:color w:val="292526"/>
          <w:sz w:val="20"/>
          <w:szCs w:val="20"/>
        </w:rPr>
        <w:t xml:space="preserve">. L'acétyl-CoA est facilement acheminé vers le cycle de l'acide citrique pour produire de l'adénosine triphosphate (ATP). Comme le foie ne peut pas utiliser tout l'acétyl-CoA qui est formé, il convertit l'excès en acide acétoacétique, un cétacide hautement soluble qui est libéré dans la circulation sanguine et transporté vers d'autres tissus, où il est utilisé comme source d'énergie. Pendant les périodes de famine, les cétones deviennent une source d'énergie majeure, car les acides gras libérés par les tissus adipeux sont convertis en cétones par le foie. Les unités d'acétyl-CoA issues du métabolisme des graisses sont également utilisées pour synthétiser le cholestérol et les acides biliaires dans le foie. Le cholestérol a plusieurs destins dans le foie. Il peut être estérifié et stocké, il peut être exporté lié à des lipoprotéines, ou il peut être converti en acides biliaires. L'étape limitante de la synthèse du cholestérol est celle qui est catalysée par </w:t>
      </w:r>
      <w:r w:rsidR="007E6CD0" w:rsidRPr="00123BC1">
        <w:rPr>
          <w:rFonts w:ascii="Times New Roman" w:hAnsi="Times New Roman" w:cs="Times New Roman"/>
          <w:i/>
          <w:color w:val="292526"/>
          <w:sz w:val="20"/>
          <w:szCs w:val="20"/>
        </w:rPr>
        <w:t xml:space="preserve">la 3-hydroxy-3-méthylglutaryl-coenzyme A réductase </w:t>
      </w:r>
      <w:r w:rsidR="007E6CD0" w:rsidRPr="007E6CD0">
        <w:rPr>
          <w:rFonts w:ascii="Times New Roman" w:hAnsi="Times New Roman" w:cs="Times New Roman"/>
          <w:color w:val="292526"/>
          <w:sz w:val="20"/>
          <w:szCs w:val="20"/>
        </w:rPr>
        <w:t>(HMG-CoA réductase).Les inhibiteurs de l'HMG-CoA réductase, ou statines (</w:t>
      </w:r>
      <w:r w:rsidR="007E6CD0" w:rsidRPr="007E6CD0">
        <w:rPr>
          <w:rFonts w:ascii="Times New Roman" w:hAnsi="Times New Roman" w:cs="Times New Roman"/>
          <w:i/>
          <w:iCs/>
          <w:color w:val="292526"/>
          <w:sz w:val="20"/>
          <w:szCs w:val="20"/>
        </w:rPr>
        <w:t>par exemple</w:t>
      </w:r>
      <w:r w:rsidR="007E6CD0" w:rsidRPr="007E6CD0">
        <w:rPr>
          <w:rFonts w:ascii="Times New Roman" w:hAnsi="Times New Roman" w:cs="Times New Roman"/>
          <w:color w:val="292526"/>
          <w:sz w:val="20"/>
          <w:szCs w:val="20"/>
        </w:rPr>
        <w:t xml:space="preserve">, la fluvastatine, la lovastatine, la pravastatine, l'atorvastatine), qui sont utilisés pour traiter les taux élevés de cholestérol, agissent en inhibant cette étape de </w:t>
      </w:r>
      <w:r w:rsidR="005C6CC6">
        <w:rPr>
          <w:rFonts w:ascii="Times New Roman" w:hAnsi="Times New Roman" w:cs="Times New Roman"/>
          <w:color w:val="292526"/>
          <w:sz w:val="20"/>
          <w:szCs w:val="20"/>
        </w:rPr>
        <w:t>la synthèse du cholestérol</w:t>
      </w:r>
      <w:r w:rsidR="007E6CD0" w:rsidRPr="007E6CD0">
        <w:rPr>
          <w:rFonts w:ascii="Times New Roman" w:hAnsi="Times New Roman" w:cs="Times New Roman"/>
          <w:color w:val="292526"/>
          <w:sz w:val="20"/>
          <w:szCs w:val="20"/>
        </w:rPr>
        <w:t>.</w:t>
      </w:r>
      <w:r w:rsidR="00CF1A8F">
        <w:rPr>
          <w:rFonts w:ascii="Times New Roman" w:hAnsi="Times New Roman" w:cs="Times New Roman"/>
          <w:color w:val="292526"/>
          <w:sz w:val="20"/>
          <w:szCs w:val="20"/>
        </w:rPr>
        <w:t xml:space="preserve"> </w:t>
      </w:r>
      <w:r w:rsidR="007E6CD0" w:rsidRPr="005C6CC6">
        <w:rPr>
          <w:rFonts w:ascii="Times New Roman" w:hAnsi="Times New Roman" w:cs="Times New Roman"/>
          <w:color w:val="292526"/>
          <w:sz w:val="20"/>
          <w:szCs w:val="20"/>
        </w:rPr>
        <w:t>La quasi-totalité de la synthèse des graisses dans l'organisme à partir des glucides et des protéines se produit dans le foie. Une fois synthétisées dans le foie, les graisses sont transportées sous forme de triglycérides dans les lipoprotéines vers les tissus adipeux où elles sont stockées.</w:t>
      </w:r>
    </w:p>
    <w:p w14:paraId="3419A362" w14:textId="77777777" w:rsidR="009640C5" w:rsidRDefault="00EE7B24" w:rsidP="00CD7853">
      <w:pPr>
        <w:autoSpaceDE w:val="0"/>
        <w:autoSpaceDN w:val="0"/>
        <w:adjustRightInd w:val="0"/>
        <w:spacing w:after="0" w:line="240" w:lineRule="auto"/>
        <w:ind w:firstLine="720"/>
        <w:jc w:val="both"/>
        <w:rPr>
          <w:rFonts w:ascii="StoneSerif-Italic" w:hAnsi="StoneSerif-Italic" w:cs="StoneSerif-Italic"/>
          <w:i/>
          <w:iCs/>
          <w:color w:val="292526"/>
          <w:sz w:val="18"/>
          <w:szCs w:val="18"/>
        </w:rPr>
      </w:pPr>
      <w:r w:rsidRPr="00EE7B24">
        <w:rPr>
          <w:rFonts w:ascii="Times New Roman" w:hAnsi="Times New Roman" w:cs="Times New Roman"/>
          <w:b/>
          <w:bCs/>
          <w:sz w:val="20"/>
          <w:szCs w:val="20"/>
        </w:rPr>
        <w:t xml:space="preserve">Production </w:t>
      </w:r>
      <w:r w:rsidR="009640C5" w:rsidRPr="009640C5">
        <w:rPr>
          <w:rFonts w:ascii="Times New Roman" w:hAnsi="Times New Roman" w:cs="Times New Roman"/>
          <w:color w:val="292526"/>
          <w:sz w:val="20"/>
          <w:szCs w:val="20"/>
        </w:rPr>
        <w:t>de</w:t>
      </w:r>
      <w:r w:rsidRPr="00EE7B24">
        <w:rPr>
          <w:rFonts w:ascii="Times New Roman" w:hAnsi="Times New Roman" w:cs="Times New Roman"/>
          <w:b/>
          <w:bCs/>
          <w:sz w:val="20"/>
          <w:szCs w:val="20"/>
        </w:rPr>
        <w:t xml:space="preserve"> bile</w:t>
      </w:r>
      <w:r>
        <w:rPr>
          <w:rFonts w:ascii="Times New Roman" w:hAnsi="Times New Roman" w:cs="Times New Roman"/>
          <w:b/>
          <w:bCs/>
          <w:i/>
          <w:sz w:val="16"/>
          <w:szCs w:val="16"/>
        </w:rPr>
        <w:t xml:space="preserve">. </w:t>
      </w:r>
      <w:r w:rsidR="009640C5" w:rsidRPr="009640C5">
        <w:rPr>
          <w:rFonts w:ascii="Times New Roman" w:hAnsi="Times New Roman" w:cs="Times New Roman"/>
          <w:color w:val="292526"/>
          <w:sz w:val="20"/>
          <w:szCs w:val="20"/>
        </w:rPr>
        <w:t xml:space="preserve">La sécrétion de bile est essentielle à la digestion des graisses alimentaires et à l'absorption des graisses et des vitamines liposolubles par l'intestin. Le foie produit environ 600 à 1 200 ml </w:t>
      </w:r>
      <w:r>
        <w:rPr>
          <w:rFonts w:ascii="Times New Roman" w:hAnsi="Times New Roman" w:cs="Times New Roman"/>
          <w:color w:val="292526"/>
          <w:sz w:val="20"/>
          <w:szCs w:val="20"/>
        </w:rPr>
        <w:t xml:space="preserve">de bile jaune-vert par jour. </w:t>
      </w:r>
      <w:r w:rsidR="009640C5" w:rsidRPr="009640C5">
        <w:rPr>
          <w:rFonts w:ascii="Times New Roman" w:hAnsi="Times New Roman" w:cs="Times New Roman"/>
          <w:color w:val="292526"/>
          <w:sz w:val="20"/>
          <w:szCs w:val="20"/>
        </w:rPr>
        <w:t>La bile contient de l'eau, des sels biliaires, de la bilirubine, du cholestérol et certains produits du métabolisme organique. Parmi ceux-ci, seuls les sels biliaires, qui sont formés à partir du cholestérol, jouent un rôle important dans la digestion. Les autres composants de la bile dépendent de la sécrétion de sodium, de chlorure, de bicarbonate et de potassium par les voies biliaires. Le foie produit environ 0,6 g de sels biliaires par jour. Les sels biliaires jouent un rôle important dans la digestion ; ils aident à émulsionner les graisses alimentaires et sont nécessaires à la formation des micelles qui transportent les acides gras et les vitamines liposolubles vers la surface de la muqueuse intestinale pour qu'ils y soient absorbés. Environ 94 % des sels biliaires qui pénètrent dans l'intestin sont réabsorbés dans la circulation portale par un processus de transport actif qui se déroule dans l'iléon distal. À partir de la circulation portale, les sels biliaires passent dans le foie, où ils sont recyclés</w:t>
      </w:r>
      <w:r w:rsidR="009640C5">
        <w:rPr>
          <w:rFonts w:ascii="StoneSerif-Italic" w:hAnsi="StoneSerif-Italic" w:cs="StoneSerif-Italic"/>
          <w:i/>
          <w:iCs/>
          <w:color w:val="292526"/>
          <w:sz w:val="18"/>
          <w:szCs w:val="18"/>
        </w:rPr>
        <w:t>.</w:t>
      </w:r>
      <w:r w:rsidR="009640C5" w:rsidRPr="009640C5">
        <w:rPr>
          <w:rFonts w:ascii="Times New Roman" w:hAnsi="Times New Roman" w:cs="Times New Roman"/>
          <w:color w:val="292526"/>
          <w:sz w:val="20"/>
          <w:szCs w:val="20"/>
        </w:rPr>
        <w:t xml:space="preserve"> Normalement, les sels biliaires parcourent ce circuit environ 18 fois avant d'être expulsés dans les selles. Ce système de recirculation des sels biliaires et d'autres substances est appelé </w:t>
      </w:r>
      <w:r w:rsidR="009640C5">
        <w:rPr>
          <w:rFonts w:ascii="StoneSerif-Italic" w:hAnsi="StoneSerif-Italic" w:cs="StoneSerif-Italic"/>
          <w:i/>
          <w:iCs/>
          <w:color w:val="292526"/>
          <w:sz w:val="18"/>
          <w:szCs w:val="18"/>
        </w:rPr>
        <w:t>circulation</w:t>
      </w:r>
      <w:r w:rsidR="009640C5" w:rsidRPr="009640C5">
        <w:rPr>
          <w:rFonts w:ascii="Times New Roman" w:hAnsi="Times New Roman" w:cs="Times New Roman"/>
          <w:i/>
          <w:iCs/>
          <w:color w:val="292526"/>
          <w:sz w:val="20"/>
          <w:szCs w:val="20"/>
        </w:rPr>
        <w:t xml:space="preserve"> entéro-hépatique</w:t>
      </w:r>
      <w:r w:rsidR="009640C5">
        <w:rPr>
          <w:rFonts w:ascii="StoneSerif-Italic" w:hAnsi="StoneSerif-Italic" w:cs="StoneSerif-Italic"/>
          <w:i/>
          <w:iCs/>
          <w:color w:val="292526"/>
          <w:sz w:val="18"/>
          <w:szCs w:val="18"/>
        </w:rPr>
        <w:t>.</w:t>
      </w:r>
    </w:p>
    <w:p w14:paraId="569DA71D" w14:textId="77777777" w:rsidR="000D6D6E" w:rsidRPr="000D6D6E" w:rsidRDefault="00EE7B24" w:rsidP="000D6D6E">
      <w:pPr>
        <w:autoSpaceDE w:val="0"/>
        <w:autoSpaceDN w:val="0"/>
        <w:adjustRightInd w:val="0"/>
        <w:spacing w:after="0" w:line="240" w:lineRule="auto"/>
        <w:ind w:firstLine="720"/>
        <w:jc w:val="both"/>
        <w:rPr>
          <w:rFonts w:ascii="Times New Roman" w:hAnsi="Times New Roman" w:cs="Times New Roman"/>
          <w:b/>
          <w:iCs/>
          <w:color w:val="292526"/>
          <w:sz w:val="20"/>
          <w:szCs w:val="20"/>
        </w:rPr>
      </w:pPr>
      <w:r w:rsidRPr="00EE7B24">
        <w:rPr>
          <w:rFonts w:ascii="Times New Roman" w:hAnsi="Times New Roman" w:cs="Times New Roman"/>
          <w:b/>
          <w:iCs/>
          <w:color w:val="292526"/>
          <w:sz w:val="20"/>
          <w:szCs w:val="20"/>
        </w:rPr>
        <w:t>Tests de la fonction hépatobiliaire</w:t>
      </w:r>
      <w:r w:rsidR="000D6D6E" w:rsidRPr="000D6D6E">
        <w:rPr>
          <w:rFonts w:ascii="Times New Roman" w:hAnsi="Times New Roman" w:cs="Times New Roman"/>
          <w:iCs/>
          <w:color w:val="292526"/>
          <w:sz w:val="20"/>
          <w:szCs w:val="20"/>
        </w:rPr>
        <w:t>. Dans la plupart des cas, les antécédents et l'examen physique fournissent des indices sur la fonction hépatique. Les tests diagnostiques aident à évaluer la fonction hépatique et l'étendue des lésions hépatiques. Les tests de laboratoire sont couramment utilisés pour évaluer la fonction hépatique et confirmer le diagnostic d'une maladie du foie.</w:t>
      </w:r>
    </w:p>
    <w:p w14:paraId="7920EC6E" w14:textId="77777777"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 xml:space="preserve">Les tests de la fonction hépatique, notamment les taux sériques d'enzymes hépatiques, sont utilisés pour évaluer les lésions des cellules hépatiques, la capacité du foie à synthétiser des protéines et les fonctions excrétrices du foie. Des taux sériques élevés d'enzymes indiquent généralement une lésion hépatique plus tôt que d'autres indicateurs de la fonction hépatique. Les enzymes clés sont </w:t>
      </w:r>
      <w:r w:rsidRPr="00EE7B24">
        <w:rPr>
          <w:rFonts w:ascii="Times New Roman" w:hAnsi="Times New Roman" w:cs="Times New Roman"/>
          <w:i/>
          <w:iCs/>
          <w:color w:val="292526"/>
          <w:sz w:val="20"/>
          <w:szCs w:val="20"/>
        </w:rPr>
        <w:t xml:space="preserve">l'alanine aminotransférase </w:t>
      </w:r>
      <w:r w:rsidRPr="000D6D6E">
        <w:rPr>
          <w:rFonts w:ascii="Times New Roman" w:hAnsi="Times New Roman" w:cs="Times New Roman"/>
          <w:iCs/>
          <w:color w:val="292526"/>
          <w:sz w:val="20"/>
          <w:szCs w:val="20"/>
        </w:rPr>
        <w:t xml:space="preserve">(ALT) et </w:t>
      </w:r>
      <w:r w:rsidRPr="00EE7B24">
        <w:rPr>
          <w:rFonts w:ascii="Times New Roman" w:hAnsi="Times New Roman" w:cs="Times New Roman"/>
          <w:i/>
          <w:iCs/>
          <w:color w:val="292526"/>
          <w:sz w:val="20"/>
          <w:szCs w:val="20"/>
        </w:rPr>
        <w:t xml:space="preserve">l'aspartate aminotransférase </w:t>
      </w:r>
      <w:r w:rsidRPr="000D6D6E">
        <w:rPr>
          <w:rFonts w:ascii="Times New Roman" w:hAnsi="Times New Roman" w:cs="Times New Roman"/>
          <w:iCs/>
          <w:color w:val="292526"/>
          <w:sz w:val="20"/>
          <w:szCs w:val="20"/>
        </w:rPr>
        <w:lastRenderedPageBreak/>
        <w:t>(AST), qui sont présentes dans les cellules hépatiques. L'ALT est spécifique au foie, tandis que l'AST provient d'organes autres que le foie. Dans la plupart des cas de lésions hépatiques, on observe une augmentation parallèle de l'ALT et de l'AST. L'augmentation la plus spectaculaire est observée dans les cas de lésions hépatocellulaires aiguës, comme celles qui surviennent dans les cas d'hépatite virale, de lésions hypoxiques ou ischémiques, de lésions toxiques aiguës ou du syndrome de Reye.</w:t>
      </w:r>
    </w:p>
    <w:p w14:paraId="7F1B438C" w14:textId="77777777"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 xml:space="preserve">La capacité de synthèse du foie se reflète dans les mesures </w:t>
      </w:r>
      <w:r w:rsidR="00EE7B24">
        <w:rPr>
          <w:rFonts w:ascii="Times New Roman" w:hAnsi="Times New Roman" w:cs="Times New Roman"/>
          <w:iCs/>
          <w:color w:val="292526"/>
          <w:sz w:val="20"/>
          <w:szCs w:val="20"/>
        </w:rPr>
        <w:t>des taux</w:t>
      </w:r>
      <w:r w:rsidRPr="000D6D6E">
        <w:rPr>
          <w:rFonts w:ascii="Times New Roman" w:hAnsi="Times New Roman" w:cs="Times New Roman"/>
          <w:iCs/>
          <w:color w:val="292526"/>
          <w:sz w:val="20"/>
          <w:szCs w:val="20"/>
        </w:rPr>
        <w:t xml:space="preserve"> de protéines sériques </w:t>
      </w:r>
      <w:r w:rsidR="00EE7B24">
        <w:rPr>
          <w:rFonts w:ascii="Times New Roman" w:hAnsi="Times New Roman" w:cs="Times New Roman"/>
          <w:iCs/>
          <w:color w:val="292526"/>
          <w:sz w:val="20"/>
          <w:szCs w:val="20"/>
        </w:rPr>
        <w:t>et du temps de prothrombine (</w:t>
      </w:r>
      <w:r w:rsidRPr="000D6D6E">
        <w:rPr>
          <w:rFonts w:ascii="Times New Roman" w:hAnsi="Times New Roman" w:cs="Times New Roman"/>
          <w:iCs/>
          <w:color w:val="292526"/>
          <w:sz w:val="20"/>
          <w:szCs w:val="20"/>
        </w:rPr>
        <w:t>synthèse des facteurs de coagulation). Une hypoalbuminémie due à une synthèse réduite peut compliquer une maladie hépatique grave. Des carences en facteur V de coagulation et en facteurs dépendants de la vitamine K (II, VII, IX et X) peuvent survenir.</w:t>
      </w:r>
    </w:p>
    <w:p w14:paraId="53FB6159" w14:textId="77777777"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La bilirubine sérique, la γ-glutamyltransférase (GGT) et la phosphatase alcaline mesurent la fonction excrétrice hépatique. La phosphatase alcaline est présente dans les membranes entre les cellules hépatiques et les voies biliaires et est libérée par des troubles affectant les voies biliaires. On pense que la GGT intervient dans le transport des acides aminés et des peptides vers les cellules hépatiques ; c'est un indicateur sensible des maladies hépatobiliaires. La mesure de la GGT peut être utile pour diagnostiquer l'abus d'alcool.</w:t>
      </w:r>
    </w:p>
    <w:p w14:paraId="6DD2672D" w14:textId="77777777"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L'échographie fournit des informations sur la taille, la composition et le flux sanguin du foie. Elle a largement remplacé la cholangiographie dans la détection des calculs dans la vésicule biliaire ou l'arbre biliaire. La tomodensitométrie (TDM) fournit des informations similaires à celles obtenues par échographie.</w:t>
      </w:r>
    </w:p>
    <w:p w14:paraId="3BCD0D01" w14:textId="77777777"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L'imagerie par résonance magnétique (IRM) s'est avérée utile dans certains troubles. L'angiographie sélective de l'artère cœliaque, mésentérique supérieure ou hépatique peut être utilisée pour visualiser la circulation hépatique ou portale. Une biopsie hépatique permet d'examiner le tissu hépatique sans recourir à la chirurgie.</w:t>
      </w:r>
    </w:p>
    <w:p w14:paraId="4478A951" w14:textId="77777777" w:rsidR="00550661" w:rsidRDefault="000D6D6E" w:rsidP="00FB5846">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Il existe plusieurs méthodes pour prélever du tissu hépatique : la biopsie hépatique percutanée, qui utilise une aiguille à aspiration, à coupe ou à ressort ; la biopsie hépatique laparoscopique ; et la biopsie à l'aiguille fine, qui est réalisée sous guidage échographique ou tomodensitométrique. Le type de méthode utilisé dépend du nombre d'échantillons nécessaires et de la quantité de tissu requise pour l'évaluation. La biopsie hépatique laparoscopique permet d'examiner les masses abdominales, d'évaluer les ascites d'origine inconnue et de déterminer le stade des cancers du foie.</w:t>
      </w:r>
    </w:p>
    <w:p w14:paraId="64046CFA" w14:textId="77777777" w:rsidR="00FB5846" w:rsidRPr="00FB5846" w:rsidRDefault="00FB5846" w:rsidP="00FB5846">
      <w:pPr>
        <w:autoSpaceDE w:val="0"/>
        <w:autoSpaceDN w:val="0"/>
        <w:adjustRightInd w:val="0"/>
        <w:spacing w:after="0" w:line="240" w:lineRule="auto"/>
        <w:ind w:firstLine="720"/>
        <w:jc w:val="both"/>
        <w:rPr>
          <w:rFonts w:ascii="Times New Roman" w:hAnsi="Times New Roman" w:cs="Times New Roman"/>
          <w:iCs/>
          <w:color w:val="292526"/>
          <w:sz w:val="20"/>
          <w:szCs w:val="20"/>
        </w:rPr>
      </w:pPr>
    </w:p>
    <w:p w14:paraId="18D5A9E2" w14:textId="77777777" w:rsidR="001733AE" w:rsidRPr="004B4D7F" w:rsidRDefault="001733AE" w:rsidP="001733AE">
      <w:pPr>
        <w:ind w:firstLine="720"/>
        <w:jc w:val="both"/>
        <w:rPr>
          <w:rFonts w:ascii="Times New Roman" w:hAnsi="Times New Roman" w:cs="Times New Roman"/>
          <w:b/>
          <w:sz w:val="24"/>
          <w:szCs w:val="24"/>
        </w:rPr>
      </w:pPr>
      <w:r w:rsidRPr="004B4D7F">
        <w:rPr>
          <w:rFonts w:ascii="Times New Roman" w:hAnsi="Times New Roman" w:cs="Times New Roman"/>
          <w:b/>
          <w:sz w:val="24"/>
          <w:szCs w:val="24"/>
        </w:rPr>
        <w:t>Caractéristiques générales des maladies hépatiques</w:t>
      </w:r>
    </w:p>
    <w:p w14:paraId="57E30EA1" w14:textId="77777777" w:rsidR="001733AE" w:rsidRPr="005D0642" w:rsidRDefault="001733AE" w:rsidP="001733AE">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t xml:space="preserve">Le foie est vulnérable à une grande variété d'agressions métaboliques, toxiques, microbiennes, circulatoires et néoplasiques. Les principales maladies primaires du foie sont l'hépatite virale, </w:t>
      </w:r>
      <w:r w:rsidR="00CD7853">
        <w:rPr>
          <w:rFonts w:ascii="Times New Roman" w:hAnsi="Times New Roman" w:cs="Times New Roman"/>
          <w:color w:val="000000"/>
          <w:sz w:val="24"/>
          <w:szCs w:val="24"/>
        </w:rPr>
        <w:t xml:space="preserve">la stéatose hépatique </w:t>
      </w:r>
      <w:r w:rsidRPr="005D0642">
        <w:rPr>
          <w:rFonts w:ascii="Times New Roman" w:hAnsi="Times New Roman" w:cs="Times New Roman"/>
          <w:color w:val="000000"/>
          <w:sz w:val="24"/>
          <w:szCs w:val="24"/>
        </w:rPr>
        <w:t xml:space="preserve">non alcoolique, la maladie alcoolique du foie </w:t>
      </w:r>
      <w:r w:rsidR="00CD7853">
        <w:rPr>
          <w:rFonts w:ascii="Times New Roman" w:hAnsi="Times New Roman" w:cs="Times New Roman"/>
          <w:color w:val="000000"/>
          <w:sz w:val="24"/>
          <w:szCs w:val="24"/>
        </w:rPr>
        <w:t>et le carcinome hépatocellulaire</w:t>
      </w:r>
      <w:r w:rsidRPr="005D0642">
        <w:rPr>
          <w:rFonts w:ascii="Times New Roman" w:hAnsi="Times New Roman" w:cs="Times New Roman"/>
          <w:color w:val="000000"/>
          <w:sz w:val="24"/>
          <w:szCs w:val="24"/>
        </w:rPr>
        <w:t>. Des lésions hépatiques surviennent également à la suite de certaines des maladies les plus courantes chez l'homme, telles que l'insuffisance cardiaque, le cancer disséminé et les infections extrahépatiques. L'énorme réserve fonctionnelle du foie masque l'impact clinique des lésions hépatiques légères, mais avec la progression d'une maladie diffuse ou la perturbation du flux biliaire, les conséquences d'un dysfonctionnement hépatique peuvent devenir mortelles.</w:t>
      </w:r>
    </w:p>
    <w:p w14:paraId="3CB513ED" w14:textId="77777777" w:rsidR="001733AE" w:rsidRDefault="001733AE" w:rsidP="00CD7853">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t xml:space="preserve">À </w:t>
      </w:r>
      <w:r w:rsidR="00CD7853">
        <w:rPr>
          <w:rFonts w:ascii="Times New Roman" w:hAnsi="Times New Roman" w:cs="Times New Roman"/>
          <w:color w:val="000000"/>
          <w:sz w:val="24"/>
          <w:szCs w:val="24"/>
        </w:rPr>
        <w:t>l'exception de l'insuffisance hépatique aiguë</w:t>
      </w:r>
      <w:r w:rsidRPr="005D0642">
        <w:rPr>
          <w:rFonts w:ascii="Times New Roman" w:hAnsi="Times New Roman" w:cs="Times New Roman"/>
          <w:color w:val="000000"/>
          <w:sz w:val="24"/>
          <w:szCs w:val="24"/>
        </w:rPr>
        <w:t>, la maladie hépatique est un processus insidieux dans lequel la détection clinique et les symptômes de décompensation hépatique peuvent apparaître des semaines, des mois ou même des années après le début de la lésion. Les fluctuations de la lésion hépatique peuvent être imperceptibles pour le patient et ne détectables que par des tests de laboratoire anormaux ; la lésion hépatique et la guérison peuvent également se produire sans détection clinique. Par conséquent, les personnes présentant des anomalies hépatiques qui sont orientées vers des hépatologues souffrent le plus souvent d'une maladie hépatique chronique.</w:t>
      </w:r>
    </w:p>
    <w:p w14:paraId="09CA31FC" w14:textId="77777777" w:rsidR="001733AE" w:rsidRPr="000B1210" w:rsidRDefault="001733AE" w:rsidP="004B4D7F">
      <w:pPr>
        <w:autoSpaceDE w:val="0"/>
        <w:autoSpaceDN w:val="0"/>
        <w:adjustRightInd w:val="0"/>
        <w:spacing w:after="0"/>
        <w:ind w:firstLine="720"/>
        <w:jc w:val="both"/>
        <w:rPr>
          <w:rFonts w:ascii="Times New Roman" w:hAnsi="Times New Roman" w:cs="Times New Roman"/>
          <w:color w:val="000000"/>
          <w:sz w:val="24"/>
          <w:szCs w:val="24"/>
        </w:rPr>
      </w:pPr>
      <w:r w:rsidRPr="000B1210">
        <w:rPr>
          <w:rFonts w:ascii="Times New Roman" w:hAnsi="Times New Roman" w:cs="Times New Roman"/>
          <w:color w:val="000000"/>
          <w:sz w:val="24"/>
          <w:szCs w:val="24"/>
        </w:rPr>
        <w:t>Le foie dispose d'un répertoire relativement limité de réponses cellulaires et tissulaires aux lésions, quelle qu'en soit la cause. Les plus courantes sont les suivantes :</w:t>
      </w:r>
    </w:p>
    <w:p w14:paraId="2CEC3D95" w14:textId="77777777"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 xml:space="preserve">La dégénérescence des hépatocytes et les accumulations intracellulaires </w:t>
      </w:r>
      <w:r w:rsidR="00743624">
        <w:rPr>
          <w:rFonts w:ascii="Times New Roman" w:hAnsi="Times New Roman" w:cs="Times New Roman"/>
          <w:color w:val="000000"/>
          <w:sz w:val="24"/>
          <w:szCs w:val="24"/>
        </w:rPr>
        <w:t>;</w:t>
      </w:r>
    </w:p>
    <w:p w14:paraId="7E0336F8" w14:textId="77777777"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 xml:space="preserve">La nécrose et l'apoptose des hépatocytes </w:t>
      </w:r>
      <w:r w:rsidR="00743624">
        <w:rPr>
          <w:rFonts w:ascii="Times New Roman" w:hAnsi="Times New Roman" w:cs="Times New Roman"/>
          <w:color w:val="000000"/>
          <w:sz w:val="24"/>
          <w:szCs w:val="24"/>
        </w:rPr>
        <w:t>;</w:t>
      </w:r>
    </w:p>
    <w:p w14:paraId="5C60D0FD" w14:textId="77777777"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 xml:space="preserve">L'inflammation </w:t>
      </w:r>
      <w:r w:rsidR="00743624">
        <w:rPr>
          <w:rFonts w:ascii="Times New Roman" w:hAnsi="Times New Roman" w:cs="Times New Roman"/>
          <w:color w:val="000000"/>
          <w:sz w:val="24"/>
          <w:szCs w:val="24"/>
        </w:rPr>
        <w:t>;</w:t>
      </w:r>
    </w:p>
    <w:p w14:paraId="093E4E5C" w14:textId="77777777"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 xml:space="preserve">La régénération </w:t>
      </w:r>
      <w:r w:rsidR="00743624">
        <w:rPr>
          <w:rFonts w:ascii="Times New Roman" w:hAnsi="Times New Roman" w:cs="Times New Roman"/>
          <w:color w:val="000000"/>
          <w:sz w:val="24"/>
          <w:szCs w:val="24"/>
        </w:rPr>
        <w:t>;</w:t>
      </w:r>
    </w:p>
    <w:p w14:paraId="3650C7BC" w14:textId="77777777" w:rsidR="00CD7853"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 xml:space="preserve">Fibrose </w:t>
      </w:r>
      <w:r w:rsidR="00743624">
        <w:rPr>
          <w:rFonts w:ascii="Times New Roman" w:hAnsi="Times New Roman" w:cs="Times New Roman"/>
          <w:color w:val="000000"/>
          <w:sz w:val="24"/>
          <w:szCs w:val="24"/>
        </w:rPr>
        <w:t>;</w:t>
      </w:r>
    </w:p>
    <w:p w14:paraId="540B467F" w14:textId="77777777" w:rsidR="000D52D7" w:rsidRDefault="000D52D7" w:rsidP="000D52D7">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lastRenderedPageBreak/>
        <w:t>Les hépatocytes peuvent subir un certain nombre de modifications dégénératives, mais potentiellement réversibles, telles que l'accumulation de graisse (</w:t>
      </w:r>
      <w:r w:rsidRPr="00CD7853">
        <w:rPr>
          <w:rFonts w:ascii="Times New Roman" w:hAnsi="Times New Roman" w:cs="Times New Roman"/>
          <w:i/>
          <w:color w:val="000000"/>
          <w:sz w:val="24"/>
          <w:szCs w:val="24"/>
        </w:rPr>
        <w:t>stéatose</w:t>
      </w:r>
      <w:r w:rsidRPr="005D0642">
        <w:rPr>
          <w:rFonts w:ascii="Times New Roman" w:hAnsi="Times New Roman" w:cs="Times New Roman"/>
          <w:color w:val="000000"/>
          <w:sz w:val="24"/>
          <w:szCs w:val="24"/>
        </w:rPr>
        <w:t>) et de bilirubine (</w:t>
      </w:r>
      <w:r w:rsidRPr="00CD7853">
        <w:rPr>
          <w:rFonts w:ascii="Times New Roman" w:hAnsi="Times New Roman" w:cs="Times New Roman"/>
          <w:i/>
          <w:color w:val="000000"/>
          <w:sz w:val="24"/>
          <w:szCs w:val="24"/>
        </w:rPr>
        <w:t>cholestase</w:t>
      </w:r>
      <w:r w:rsidRPr="005D0642">
        <w:rPr>
          <w:rFonts w:ascii="Times New Roman" w:hAnsi="Times New Roman" w:cs="Times New Roman"/>
          <w:color w:val="000000"/>
          <w:sz w:val="24"/>
          <w:szCs w:val="24"/>
        </w:rPr>
        <w:t>). Lorsque la lésion n'est pas réversible, les hépatocytes meurent principalement par deux mécanismes : la nécrose ou l'apoptose.</w:t>
      </w:r>
    </w:p>
    <w:p w14:paraId="4F9C4FC0" w14:textId="77777777" w:rsidR="00AA6783" w:rsidRDefault="00AA6783" w:rsidP="000D52D7">
      <w:pPr>
        <w:autoSpaceDE w:val="0"/>
        <w:autoSpaceDN w:val="0"/>
        <w:adjustRightInd w:val="0"/>
        <w:spacing w:after="0"/>
        <w:ind w:firstLine="720"/>
        <w:jc w:val="both"/>
        <w:rPr>
          <w:rFonts w:ascii="Times New Roman" w:hAnsi="Times New Roman" w:cs="Times New Roman"/>
          <w:color w:val="000000"/>
          <w:sz w:val="24"/>
          <w:szCs w:val="24"/>
        </w:rPr>
      </w:pPr>
    </w:p>
    <w:p w14:paraId="3AAC5BE1" w14:textId="77777777" w:rsidR="009852E9" w:rsidRPr="009852E9" w:rsidRDefault="009852E9" w:rsidP="009852E9">
      <w:pPr>
        <w:autoSpaceDE w:val="0"/>
        <w:autoSpaceDN w:val="0"/>
        <w:adjustRightInd w:val="0"/>
        <w:spacing w:after="0"/>
        <w:ind w:firstLine="720"/>
        <w:jc w:val="center"/>
        <w:rPr>
          <w:rFonts w:ascii="Times New Roman" w:hAnsi="Times New Roman" w:cs="Times New Roman"/>
          <w:b/>
        </w:rPr>
      </w:pPr>
      <w:r w:rsidRPr="009852E9">
        <w:rPr>
          <w:rFonts w:ascii="Times New Roman" w:hAnsi="Times New Roman" w:cs="Times New Roman"/>
          <w:b/>
        </w:rPr>
        <w:t>INSUFFISANCE HÉPATIQUE, CIRRHOSE ET HYPERTENSION PORTAIRE</w:t>
      </w:r>
    </w:p>
    <w:p w14:paraId="014DAC7F" w14:textId="77777777" w:rsidR="009852E9" w:rsidRPr="00EB4FE2" w:rsidRDefault="009852E9" w:rsidP="009852E9">
      <w:pPr>
        <w:autoSpaceDE w:val="0"/>
        <w:autoSpaceDN w:val="0"/>
        <w:adjustRightInd w:val="0"/>
        <w:spacing w:after="0"/>
        <w:ind w:firstLine="720"/>
        <w:jc w:val="both"/>
        <w:rPr>
          <w:rFonts w:ascii="Times New Roman" w:hAnsi="Times New Roman" w:cs="Times New Roman"/>
          <w:sz w:val="24"/>
          <w:szCs w:val="24"/>
        </w:rPr>
      </w:pPr>
      <w:r w:rsidRPr="009852E9">
        <w:rPr>
          <w:rFonts w:ascii="Times New Roman" w:hAnsi="Times New Roman" w:cs="Times New Roman"/>
          <w:sz w:val="24"/>
          <w:szCs w:val="24"/>
        </w:rPr>
        <w:t xml:space="preserve">Les conséquences les plus graves de nombreuses maladies hépatiques résident dans leur capacité à provoquer </w:t>
      </w:r>
      <w:r w:rsidR="0028522A" w:rsidRPr="009852E9">
        <w:rPr>
          <w:rFonts w:ascii="Times New Roman" w:hAnsi="Times New Roman" w:cs="Times New Roman"/>
          <w:sz w:val="24"/>
          <w:szCs w:val="24"/>
        </w:rPr>
        <w:t>une maladie du foie</w:t>
      </w:r>
      <w:r w:rsidR="0028522A">
        <w:rPr>
          <w:rFonts w:ascii="Times New Roman" w:hAnsi="Times New Roman" w:cs="Times New Roman"/>
          <w:sz w:val="24"/>
          <w:szCs w:val="24"/>
        </w:rPr>
        <w:t xml:space="preserve">, </w:t>
      </w:r>
      <w:r w:rsidRPr="009852E9">
        <w:rPr>
          <w:rFonts w:ascii="Times New Roman" w:hAnsi="Times New Roman" w:cs="Times New Roman"/>
          <w:sz w:val="24"/>
          <w:szCs w:val="24"/>
        </w:rPr>
        <w:t xml:space="preserve">une cirrhose </w:t>
      </w:r>
      <w:r w:rsidR="0028522A">
        <w:rPr>
          <w:rFonts w:ascii="Times New Roman" w:hAnsi="Times New Roman" w:cs="Times New Roman"/>
          <w:sz w:val="24"/>
          <w:szCs w:val="24"/>
        </w:rPr>
        <w:t>et une hypertension portale</w:t>
      </w:r>
      <w:r w:rsidRPr="009852E9">
        <w:rPr>
          <w:rFonts w:ascii="Times New Roman" w:hAnsi="Times New Roman" w:cs="Times New Roman"/>
          <w:sz w:val="24"/>
          <w:szCs w:val="24"/>
        </w:rPr>
        <w:t>.</w:t>
      </w:r>
    </w:p>
    <w:p w14:paraId="1BDF2AE1" w14:textId="77777777" w:rsidR="00CD7853" w:rsidRPr="00CD7853" w:rsidRDefault="00CD7853" w:rsidP="00CD7853">
      <w:pPr>
        <w:autoSpaceDE w:val="0"/>
        <w:autoSpaceDN w:val="0"/>
        <w:adjustRightInd w:val="0"/>
        <w:spacing w:after="0"/>
        <w:jc w:val="center"/>
        <w:rPr>
          <w:rFonts w:ascii="Times New Roman" w:hAnsi="Times New Roman" w:cs="Times New Roman"/>
          <w:b/>
          <w:sz w:val="28"/>
          <w:szCs w:val="28"/>
        </w:rPr>
      </w:pPr>
      <w:r w:rsidRPr="00CD7853">
        <w:rPr>
          <w:rFonts w:ascii="Times New Roman" w:hAnsi="Times New Roman" w:cs="Times New Roman"/>
          <w:b/>
          <w:sz w:val="28"/>
          <w:szCs w:val="28"/>
        </w:rPr>
        <w:t>Insuffisance</w:t>
      </w:r>
      <w:r w:rsidR="006763CC">
        <w:rPr>
          <w:rFonts w:ascii="Times New Roman" w:hAnsi="Times New Roman" w:cs="Times New Roman"/>
          <w:b/>
          <w:sz w:val="28"/>
          <w:szCs w:val="28"/>
        </w:rPr>
        <w:t xml:space="preserve"> hépatique</w:t>
      </w:r>
    </w:p>
    <w:p w14:paraId="5B7CA9B1" w14:textId="77777777" w:rsidR="0028522A" w:rsidRPr="001C75FD" w:rsidRDefault="00CD7853" w:rsidP="001C75FD">
      <w:pPr>
        <w:pStyle w:val="Titlu1"/>
        <w:spacing w:line="276" w:lineRule="auto"/>
        <w:ind w:firstLine="720"/>
        <w:rPr>
          <w:szCs w:val="24"/>
          <w:lang w:val="en-US"/>
        </w:rPr>
      </w:pPr>
      <w:r w:rsidRPr="00CD7853">
        <w:rPr>
          <w:szCs w:val="24"/>
        </w:rPr>
        <w:t>La conséquence clinique la plus grave d'une maladie hépatique est l'insuffisance hépatique.</w:t>
      </w:r>
      <w:r w:rsidR="0028522A" w:rsidRPr="00CD4E10">
        <w:rPr>
          <w:sz w:val="20"/>
          <w:lang w:val="en-US"/>
        </w:rPr>
        <w:t xml:space="preserve">  </w:t>
      </w:r>
      <w:r w:rsidR="0028522A" w:rsidRPr="0028522A">
        <w:rPr>
          <w:i/>
          <w:szCs w:val="24"/>
          <w:lang w:val="en-US"/>
        </w:rPr>
        <w:t xml:space="preserve"> </w:t>
      </w:r>
      <w:r w:rsidR="006F37B7">
        <w:rPr>
          <w:i/>
          <w:szCs w:val="24"/>
          <w:lang w:val="en-US"/>
        </w:rPr>
        <w:t xml:space="preserve">L'insuffisance </w:t>
      </w:r>
      <w:r w:rsidR="0028522A" w:rsidRPr="0028522A">
        <w:rPr>
          <w:i/>
          <w:szCs w:val="24"/>
          <w:lang w:val="en-US"/>
        </w:rPr>
        <w:t xml:space="preserve">hépatique </w:t>
      </w:r>
      <w:r w:rsidR="0028522A" w:rsidRPr="0028522A">
        <w:rPr>
          <w:szCs w:val="24"/>
          <w:lang w:val="en-US"/>
        </w:rPr>
        <w:t xml:space="preserve">correspond à un trouble d'une ou plusieurs fonctions du foie résultant d'une lésion des hépatocytes, un état pathologique caractérisé par un déséquilibre entre les capacités fonctionnelles du foie et les besoins des tissus et des organes du corps. </w:t>
      </w:r>
    </w:p>
    <w:p w14:paraId="5886DA3B" w14:textId="77777777" w:rsidR="0028522A" w:rsidRPr="0028522A" w:rsidRDefault="0028522A" w:rsidP="005A2C25">
      <w:pPr>
        <w:pStyle w:val="Titlu1"/>
        <w:spacing w:line="276" w:lineRule="auto"/>
        <w:ind w:firstLine="720"/>
        <w:rPr>
          <w:szCs w:val="24"/>
          <w:lang w:val="en-US"/>
        </w:rPr>
      </w:pPr>
      <w:r w:rsidRPr="0028522A">
        <w:rPr>
          <w:szCs w:val="24"/>
          <w:lang w:val="en-US"/>
        </w:rPr>
        <w:t xml:space="preserve">Les facteurs étiologiques </w:t>
      </w:r>
      <w:r w:rsidR="00555D38">
        <w:rPr>
          <w:szCs w:val="24"/>
          <w:lang w:val="en-US"/>
        </w:rPr>
        <w:t xml:space="preserve">de l'insuffisance hépatique </w:t>
      </w:r>
      <w:r w:rsidRPr="0028522A">
        <w:rPr>
          <w:szCs w:val="24"/>
          <w:lang w:val="en-US"/>
        </w:rPr>
        <w:t>peuvent être d'origines diverses :</w:t>
      </w:r>
    </w:p>
    <w:p w14:paraId="486EF362" w14:textId="77777777" w:rsidR="0028522A" w:rsidRPr="001839BD" w:rsidRDefault="0093454E" w:rsidP="00031615">
      <w:pPr>
        <w:jc w:val="both"/>
        <w:rPr>
          <w:rFonts w:ascii="Times New Roman" w:hAnsi="Times New Roman" w:cs="Times New Roman"/>
          <w:sz w:val="24"/>
          <w:szCs w:val="24"/>
        </w:rPr>
      </w:pPr>
      <w:r>
        <w:rPr>
          <w:rFonts w:ascii="Times New Roman" w:hAnsi="Times New Roman" w:cs="Times New Roman"/>
          <w:i/>
          <w:sz w:val="24"/>
          <w:szCs w:val="24"/>
        </w:rPr>
        <w:t xml:space="preserve">       </w:t>
      </w:r>
      <w:r w:rsidR="0028522A" w:rsidRPr="001839BD">
        <w:rPr>
          <w:rFonts w:ascii="Times New Roman" w:hAnsi="Times New Roman" w:cs="Times New Roman"/>
          <w:i/>
          <w:sz w:val="24"/>
          <w:szCs w:val="24"/>
        </w:rPr>
        <w:t xml:space="preserve"> Infectieux </w:t>
      </w:r>
      <w:r w:rsidR="0028522A" w:rsidRPr="001839BD">
        <w:rPr>
          <w:rFonts w:ascii="Times New Roman" w:hAnsi="Times New Roman" w:cs="Times New Roman"/>
          <w:sz w:val="24"/>
          <w:szCs w:val="24"/>
        </w:rPr>
        <w:t xml:space="preserve">- bactéries (pneumocoques, streptocoques, spirochètes) et virus </w:t>
      </w:r>
      <w:r w:rsidR="001839BD" w:rsidRPr="006020ED">
        <w:rPr>
          <w:rFonts w:ascii="Times New Roman" w:hAnsi="Times New Roman" w:cs="Times New Roman"/>
          <w:sz w:val="24"/>
          <w:szCs w:val="24"/>
        </w:rPr>
        <w:t>(hépatites virales A, B, C, D, E) et autres formes de virus comme la mononucléose infectieuse produite par le virus d'Epstein-Barr, le cytomégalovirus, l'hépatite herpétique.</w:t>
      </w:r>
    </w:p>
    <w:p w14:paraId="637BCA4B" w14:textId="77777777" w:rsidR="0028522A" w:rsidRPr="005A2C25" w:rsidRDefault="0028522A" w:rsidP="001C75FD">
      <w:pPr>
        <w:ind w:firstLine="708"/>
        <w:jc w:val="both"/>
        <w:rPr>
          <w:rFonts w:ascii="Times New Roman" w:hAnsi="Times New Roman" w:cs="Times New Roman"/>
          <w:sz w:val="24"/>
          <w:szCs w:val="24"/>
        </w:rPr>
      </w:pPr>
      <w:r w:rsidRPr="005A2C25">
        <w:rPr>
          <w:rFonts w:ascii="Times New Roman" w:hAnsi="Times New Roman" w:cs="Times New Roman"/>
          <w:i/>
          <w:sz w:val="24"/>
          <w:szCs w:val="24"/>
        </w:rPr>
        <w:t xml:space="preserve">Toxiques </w:t>
      </w:r>
      <w:r w:rsidRPr="005A2C25">
        <w:rPr>
          <w:rFonts w:ascii="Times New Roman" w:hAnsi="Times New Roman" w:cs="Times New Roman"/>
          <w:sz w:val="24"/>
          <w:szCs w:val="24"/>
        </w:rPr>
        <w:t xml:space="preserve">: action hépatotoxique de différentes </w:t>
      </w:r>
      <w:r w:rsidR="00555D38">
        <w:rPr>
          <w:rFonts w:ascii="Times New Roman" w:hAnsi="Times New Roman" w:cs="Times New Roman"/>
          <w:sz w:val="24"/>
          <w:szCs w:val="24"/>
        </w:rPr>
        <w:t>substances chimiques non organiques (</w:t>
      </w:r>
      <w:r w:rsidRPr="005A2C25">
        <w:rPr>
          <w:rFonts w:ascii="Times New Roman" w:hAnsi="Times New Roman" w:cs="Times New Roman"/>
          <w:sz w:val="24"/>
          <w:szCs w:val="24"/>
        </w:rPr>
        <w:t xml:space="preserve">plomb, </w:t>
      </w:r>
      <w:r w:rsidR="005A2C25" w:rsidRPr="005A2C25">
        <w:rPr>
          <w:rFonts w:ascii="Times New Roman" w:hAnsi="Times New Roman" w:cs="Times New Roman"/>
          <w:sz w:val="24"/>
          <w:szCs w:val="24"/>
        </w:rPr>
        <w:t>benzène</w:t>
      </w:r>
      <w:r w:rsidRPr="005A2C25">
        <w:rPr>
          <w:rFonts w:ascii="Times New Roman" w:hAnsi="Times New Roman" w:cs="Times New Roman"/>
          <w:sz w:val="24"/>
          <w:szCs w:val="24"/>
        </w:rPr>
        <w:t>, phosphore) ; substances chimiques organiques (alcool, dérivés halogénés)</w:t>
      </w:r>
      <w:r w:rsidR="009048E4">
        <w:rPr>
          <w:rFonts w:ascii="Times New Roman" w:hAnsi="Times New Roman" w:cs="Times New Roman"/>
          <w:sz w:val="24"/>
          <w:szCs w:val="24"/>
        </w:rPr>
        <w:t xml:space="preserve">, </w:t>
      </w:r>
      <w:r w:rsidR="009048E4" w:rsidRPr="006020ED">
        <w:rPr>
          <w:rFonts w:ascii="Times New Roman" w:hAnsi="Times New Roman" w:cs="Times New Roman"/>
          <w:sz w:val="24"/>
          <w:szCs w:val="24"/>
        </w:rPr>
        <w:t>intoxication aiguë à l'amanite phalloïde</w:t>
      </w:r>
      <w:r w:rsidR="009048E4">
        <w:rPr>
          <w:rFonts w:ascii="Times New Roman" w:hAnsi="Times New Roman" w:cs="Times New Roman"/>
          <w:sz w:val="24"/>
          <w:szCs w:val="24"/>
        </w:rPr>
        <w:t xml:space="preserve">. </w:t>
      </w:r>
      <w:r w:rsidR="005A2C25" w:rsidRPr="005A2C25">
        <w:rPr>
          <w:rFonts w:ascii="Times New Roman" w:hAnsi="Times New Roman" w:cs="Times New Roman"/>
          <w:sz w:val="24"/>
          <w:szCs w:val="24"/>
        </w:rPr>
        <w:t xml:space="preserve">L'abus d'alcool </w:t>
      </w:r>
      <w:r w:rsidR="005A2C25">
        <w:rPr>
          <w:rFonts w:ascii="Times New Roman" w:hAnsi="Times New Roman" w:cs="Times New Roman"/>
          <w:sz w:val="24"/>
          <w:szCs w:val="24"/>
        </w:rPr>
        <w:t xml:space="preserve">est l'une des </w:t>
      </w:r>
      <w:r w:rsidR="009048E4">
        <w:rPr>
          <w:rFonts w:ascii="Times New Roman" w:hAnsi="Times New Roman" w:cs="Times New Roman"/>
          <w:sz w:val="24"/>
          <w:szCs w:val="24"/>
        </w:rPr>
        <w:t>causes les plus courantes</w:t>
      </w:r>
      <w:r w:rsidR="009C60A7">
        <w:rPr>
          <w:rFonts w:ascii="Times New Roman" w:hAnsi="Times New Roman" w:cs="Times New Roman"/>
          <w:sz w:val="24"/>
          <w:szCs w:val="24"/>
        </w:rPr>
        <w:t>.</w:t>
      </w:r>
    </w:p>
    <w:p w14:paraId="1F0C9B54" w14:textId="77777777" w:rsidR="001839BD" w:rsidRPr="001839BD" w:rsidRDefault="0028522A" w:rsidP="006F37B7">
      <w:pPr>
        <w:ind w:firstLine="708"/>
        <w:jc w:val="both"/>
        <w:rPr>
          <w:rFonts w:ascii="Times New Roman" w:hAnsi="Times New Roman" w:cs="Times New Roman"/>
          <w:sz w:val="24"/>
          <w:szCs w:val="24"/>
        </w:rPr>
      </w:pPr>
      <w:r w:rsidRPr="001839BD">
        <w:rPr>
          <w:rFonts w:ascii="Times New Roman" w:hAnsi="Times New Roman" w:cs="Times New Roman"/>
          <w:i/>
          <w:sz w:val="24"/>
          <w:szCs w:val="24"/>
        </w:rPr>
        <w:t xml:space="preserve">Toxico-allergique </w:t>
      </w:r>
      <w:r w:rsidRPr="001839BD">
        <w:rPr>
          <w:rFonts w:ascii="Times New Roman" w:hAnsi="Times New Roman" w:cs="Times New Roman"/>
          <w:sz w:val="24"/>
          <w:szCs w:val="24"/>
        </w:rPr>
        <w:t xml:space="preserve">– </w:t>
      </w:r>
      <w:r w:rsidR="001F3243">
        <w:rPr>
          <w:rFonts w:ascii="Times New Roman" w:hAnsi="Times New Roman" w:cs="Times New Roman"/>
          <w:sz w:val="24"/>
          <w:szCs w:val="24"/>
        </w:rPr>
        <w:t xml:space="preserve">représente </w:t>
      </w:r>
      <w:r w:rsidRPr="001839BD">
        <w:rPr>
          <w:rFonts w:ascii="Times New Roman" w:hAnsi="Times New Roman" w:cs="Times New Roman"/>
          <w:sz w:val="24"/>
          <w:szCs w:val="24"/>
        </w:rPr>
        <w:t>l'action hépatotoxique de différents médicaments</w:t>
      </w:r>
      <w:r w:rsidR="006F37B7" w:rsidRPr="00423C0F">
        <w:rPr>
          <w:rFonts w:ascii="Times New Roman" w:hAnsi="Times New Roman" w:cs="Times New Roman"/>
          <w:sz w:val="24"/>
          <w:szCs w:val="24"/>
        </w:rPr>
        <w:t>.</w:t>
      </w:r>
      <w:r w:rsidRPr="001839BD">
        <w:rPr>
          <w:rFonts w:ascii="Times New Roman" w:hAnsi="Times New Roman" w:cs="Times New Roman"/>
          <w:sz w:val="24"/>
          <w:szCs w:val="24"/>
        </w:rPr>
        <w:t xml:space="preserve"> Il convient de mentionner qu'un petit nombre de médicaments ont </w:t>
      </w:r>
      <w:r w:rsidR="001F3243">
        <w:rPr>
          <w:rFonts w:ascii="Times New Roman" w:hAnsi="Times New Roman" w:cs="Times New Roman"/>
          <w:sz w:val="24"/>
          <w:szCs w:val="24"/>
        </w:rPr>
        <w:t xml:space="preserve">un effet hépatotoxique </w:t>
      </w:r>
      <w:r w:rsidRPr="001839BD">
        <w:rPr>
          <w:rFonts w:ascii="Times New Roman" w:hAnsi="Times New Roman" w:cs="Times New Roman"/>
          <w:sz w:val="24"/>
          <w:szCs w:val="24"/>
        </w:rPr>
        <w:t xml:space="preserve">direct </w:t>
      </w:r>
      <w:r w:rsidR="006F37B7">
        <w:rPr>
          <w:rFonts w:ascii="Times New Roman" w:hAnsi="Times New Roman" w:cs="Times New Roman"/>
          <w:sz w:val="24"/>
          <w:szCs w:val="24"/>
        </w:rPr>
        <w:t xml:space="preserve">(tétracycline, griséofulvine). </w:t>
      </w:r>
      <w:r w:rsidR="006F37B7" w:rsidRPr="00423C0F">
        <w:rPr>
          <w:rFonts w:ascii="Times New Roman" w:hAnsi="Times New Roman" w:cs="Times New Roman"/>
          <w:sz w:val="24"/>
          <w:szCs w:val="24"/>
        </w:rPr>
        <w:t>La tétracycline, lorsqu'elle est administrée par voie intraveineuse à des doses supérieures à 1,5 g par jour, entraîne des dépôts de graisse microvésiculaires dans le foie.</w:t>
      </w:r>
      <w:r w:rsidR="006F37B7">
        <w:rPr>
          <w:rFonts w:ascii="Times New Roman" w:hAnsi="Times New Roman" w:cs="Times New Roman"/>
          <w:sz w:val="24"/>
          <w:szCs w:val="24"/>
        </w:rPr>
        <w:t xml:space="preserve"> </w:t>
      </w:r>
      <w:r w:rsidRPr="001839BD">
        <w:rPr>
          <w:rFonts w:ascii="Times New Roman" w:hAnsi="Times New Roman" w:cs="Times New Roman"/>
          <w:sz w:val="24"/>
          <w:szCs w:val="24"/>
        </w:rPr>
        <w:t xml:space="preserve">D'autres médicaments ont un effet hépatotoxique toxico-allergique </w:t>
      </w:r>
      <w:r w:rsidR="001F3243">
        <w:rPr>
          <w:rFonts w:ascii="Times New Roman" w:hAnsi="Times New Roman" w:cs="Times New Roman"/>
          <w:sz w:val="24"/>
          <w:szCs w:val="24"/>
        </w:rPr>
        <w:t xml:space="preserve">: </w:t>
      </w:r>
      <w:r w:rsidR="001839BD" w:rsidRPr="001839BD">
        <w:rPr>
          <w:rFonts w:ascii="Times New Roman" w:hAnsi="Times New Roman" w:cs="Times New Roman"/>
          <w:sz w:val="24"/>
          <w:szCs w:val="24"/>
        </w:rPr>
        <w:t>les antibiotiques (oxaciline, rifampicine, tétracycline), les neuroleptiques et les anxiolytiques (</w:t>
      </w:r>
      <w:r w:rsidR="00BE7471">
        <w:rPr>
          <w:rFonts w:ascii="Times New Roman" w:hAnsi="Times New Roman" w:cs="Times New Roman"/>
          <w:sz w:val="24"/>
          <w:szCs w:val="24"/>
        </w:rPr>
        <w:t>diazépam), les diurétiques (furosémide</w:t>
      </w:r>
      <w:r w:rsidR="001839BD" w:rsidRPr="001839BD">
        <w:rPr>
          <w:rFonts w:ascii="Times New Roman" w:hAnsi="Times New Roman" w:cs="Times New Roman"/>
          <w:sz w:val="24"/>
          <w:szCs w:val="24"/>
        </w:rPr>
        <w:t>, spironolactone), les antiarythmiques (amiodarone), les anti-inflammatoires non stéroïdiens (indométacine, diclofénac</w:t>
      </w:r>
      <w:r w:rsidR="001839BD">
        <w:rPr>
          <w:rFonts w:ascii="Times New Roman" w:hAnsi="Times New Roman" w:cs="Times New Roman"/>
          <w:sz w:val="24"/>
          <w:szCs w:val="24"/>
        </w:rPr>
        <w:t xml:space="preserve">, </w:t>
      </w:r>
      <w:r w:rsidR="001839BD" w:rsidRPr="001839BD">
        <w:rPr>
          <w:rFonts w:ascii="Times New Roman" w:hAnsi="Times New Roman" w:cs="Times New Roman"/>
          <w:sz w:val="24"/>
          <w:szCs w:val="24"/>
        </w:rPr>
        <w:t>piroxicam),</w:t>
      </w:r>
    </w:p>
    <w:p w14:paraId="41AFB790" w14:textId="77777777" w:rsidR="005A2C25" w:rsidRDefault="0028522A" w:rsidP="009C60A7">
      <w:pPr>
        <w:pStyle w:val="Titlu1"/>
        <w:spacing w:line="276" w:lineRule="auto"/>
        <w:ind w:left="90" w:firstLine="630"/>
        <w:rPr>
          <w:b/>
          <w:szCs w:val="24"/>
          <w:lang w:val="en-US"/>
        </w:rPr>
      </w:pPr>
      <w:r w:rsidRPr="005A2C25">
        <w:rPr>
          <w:i/>
          <w:szCs w:val="24"/>
          <w:lang w:val="en-US"/>
        </w:rPr>
        <w:t xml:space="preserve">Auto-immune </w:t>
      </w:r>
      <w:r w:rsidR="009048E4">
        <w:rPr>
          <w:szCs w:val="24"/>
          <w:lang w:val="en-US"/>
        </w:rPr>
        <w:t xml:space="preserve">– </w:t>
      </w:r>
      <w:r w:rsidRPr="0028522A">
        <w:rPr>
          <w:szCs w:val="24"/>
          <w:lang w:val="en-US"/>
        </w:rPr>
        <w:t xml:space="preserve">hépatite auto-immune résultant de </w:t>
      </w:r>
      <w:r w:rsidR="009048E4">
        <w:rPr>
          <w:szCs w:val="24"/>
          <w:lang w:val="en-US"/>
        </w:rPr>
        <w:t xml:space="preserve">vaccins parentéraux ; parfois sensibilisation </w:t>
      </w:r>
      <w:r w:rsidRPr="0028522A">
        <w:rPr>
          <w:szCs w:val="24"/>
          <w:lang w:val="en-US"/>
        </w:rPr>
        <w:t xml:space="preserve">à des médicaments ou à certains aliments, qui créent les conditions propices à une lésion immunitaire des hépatocytes.     </w:t>
      </w:r>
    </w:p>
    <w:p w14:paraId="0D21E52F" w14:textId="77777777" w:rsidR="005A2C25" w:rsidRPr="005A2C25" w:rsidRDefault="005A2C25" w:rsidP="005A2C25">
      <w:pPr>
        <w:pStyle w:val="Titlu1"/>
        <w:spacing w:line="276" w:lineRule="auto"/>
        <w:rPr>
          <w:szCs w:val="24"/>
          <w:lang w:val="en-US"/>
        </w:rPr>
      </w:pPr>
      <w:r>
        <w:rPr>
          <w:b/>
          <w:szCs w:val="24"/>
          <w:lang w:val="en-US"/>
        </w:rPr>
        <w:t xml:space="preserve">          </w:t>
      </w:r>
      <w:r w:rsidR="0028522A" w:rsidRPr="005A2C25">
        <w:rPr>
          <w:i/>
          <w:szCs w:val="24"/>
          <w:lang w:val="en-US"/>
        </w:rPr>
        <w:t xml:space="preserve">Physiques et mécaniques </w:t>
      </w:r>
      <w:r w:rsidR="0028522A" w:rsidRPr="005A2C25">
        <w:rPr>
          <w:szCs w:val="24"/>
          <w:lang w:val="en-US"/>
        </w:rPr>
        <w:t xml:space="preserve">– action des rayonnements ou obstruction mécanique des voies biliaires </w:t>
      </w:r>
      <w:r>
        <w:rPr>
          <w:szCs w:val="24"/>
          <w:lang w:val="en-US"/>
        </w:rPr>
        <w:t xml:space="preserve"> (</w:t>
      </w:r>
      <w:r w:rsidRPr="005A2C25">
        <w:rPr>
          <w:szCs w:val="24"/>
        </w:rPr>
        <w:t xml:space="preserve">cholestase intrahépatique ou post-hépatique  pendant </w:t>
      </w:r>
      <w:r w:rsidR="009048E4">
        <w:rPr>
          <w:szCs w:val="24"/>
        </w:rPr>
        <w:t xml:space="preserve">de longues périodes, comme </w:t>
      </w:r>
      <w:r w:rsidRPr="005A2C25">
        <w:rPr>
          <w:szCs w:val="24"/>
        </w:rPr>
        <w:t xml:space="preserve">dans la mucoviscidose, </w:t>
      </w:r>
      <w:r w:rsidR="009048E4">
        <w:rPr>
          <w:szCs w:val="24"/>
        </w:rPr>
        <w:t xml:space="preserve">les calculs </w:t>
      </w:r>
      <w:r w:rsidR="00555D38">
        <w:rPr>
          <w:szCs w:val="24"/>
        </w:rPr>
        <w:t xml:space="preserve">dans le canal cholédoque </w:t>
      </w:r>
      <w:r w:rsidRPr="005A2C25">
        <w:rPr>
          <w:szCs w:val="24"/>
        </w:rPr>
        <w:t>ou les tumeurs</w:t>
      </w:r>
      <w:r>
        <w:rPr>
          <w:szCs w:val="24"/>
        </w:rPr>
        <w:t>)</w:t>
      </w:r>
      <w:r w:rsidRPr="005A2C25">
        <w:rPr>
          <w:szCs w:val="24"/>
        </w:rPr>
        <w:t xml:space="preserve">. </w:t>
      </w:r>
    </w:p>
    <w:p w14:paraId="6861F5B1" w14:textId="77777777" w:rsidR="005E2426" w:rsidRDefault="005A2C25" w:rsidP="005E2426">
      <w:pPr>
        <w:ind w:firstLine="720"/>
        <w:jc w:val="both"/>
        <w:rPr>
          <w:rFonts w:ascii="Times New Roman" w:hAnsi="Times New Roman" w:cs="Times New Roman"/>
          <w:sz w:val="24"/>
          <w:szCs w:val="24"/>
        </w:rPr>
      </w:pPr>
      <w:r w:rsidRPr="001839BD">
        <w:rPr>
          <w:rFonts w:ascii="Times New Roman" w:hAnsi="Times New Roman" w:cs="Times New Roman"/>
          <w:i/>
          <w:sz w:val="24"/>
          <w:szCs w:val="24"/>
        </w:rPr>
        <w:t xml:space="preserve">Hémodynamiques </w:t>
      </w:r>
      <w:r w:rsidRPr="001839BD">
        <w:rPr>
          <w:rFonts w:ascii="Times New Roman" w:hAnsi="Times New Roman" w:cs="Times New Roman"/>
          <w:sz w:val="24"/>
          <w:szCs w:val="24"/>
        </w:rPr>
        <w:t>– troubles de la circulation sanguine, tant locaux (ischémie ou hyperémie veineuse au niveau du foie, comme dans les causes cardiovasculaires qui altèrent le retour veineux) que généraux (insuffisance cardiovasculaire)</w:t>
      </w:r>
      <w:r w:rsidR="009048E4">
        <w:rPr>
          <w:rFonts w:ascii="Times New Roman" w:hAnsi="Times New Roman" w:cs="Times New Roman"/>
          <w:sz w:val="24"/>
          <w:szCs w:val="24"/>
        </w:rPr>
        <w:t xml:space="preserve">, </w:t>
      </w:r>
      <w:r w:rsidRPr="001839BD">
        <w:rPr>
          <w:rFonts w:ascii="Times New Roman" w:hAnsi="Times New Roman" w:cs="Times New Roman"/>
          <w:sz w:val="24"/>
          <w:szCs w:val="24"/>
        </w:rPr>
        <w:t>pouvant entraîner une hypoxie des hépatocytes</w:t>
      </w:r>
      <w:r w:rsidR="001839BD" w:rsidRPr="001839BD">
        <w:rPr>
          <w:rFonts w:ascii="Times New Roman" w:hAnsi="Times New Roman" w:cs="Times New Roman"/>
          <w:sz w:val="24"/>
          <w:szCs w:val="24"/>
        </w:rPr>
        <w:t xml:space="preserve">.  </w:t>
      </w:r>
      <w:r w:rsidR="001239E8">
        <w:rPr>
          <w:rFonts w:ascii="Times New Roman" w:hAnsi="Times New Roman" w:cs="Times New Roman"/>
          <w:sz w:val="24"/>
          <w:szCs w:val="24"/>
        </w:rPr>
        <w:t xml:space="preserve">Ces troubles peuvent également survenir dans le cadre </w:t>
      </w:r>
      <w:r w:rsidR="001839BD" w:rsidRPr="001839BD">
        <w:rPr>
          <w:rFonts w:ascii="Times New Roman" w:hAnsi="Times New Roman" w:cs="Times New Roman"/>
          <w:sz w:val="24"/>
          <w:szCs w:val="24"/>
        </w:rPr>
        <w:t xml:space="preserve">de maladies de la veine sous-hépatique : </w:t>
      </w:r>
      <w:r w:rsidR="001839BD" w:rsidRPr="006020ED">
        <w:rPr>
          <w:rFonts w:ascii="Times New Roman" w:hAnsi="Times New Roman" w:cs="Times New Roman"/>
          <w:sz w:val="24"/>
          <w:szCs w:val="24"/>
        </w:rPr>
        <w:t xml:space="preserve">syndrome de Budd-Chiari (thrombose de la veine sous-hépatique), maladie </w:t>
      </w:r>
      <w:r w:rsidR="001C75FD" w:rsidRPr="006020ED">
        <w:rPr>
          <w:rFonts w:ascii="Times New Roman" w:hAnsi="Times New Roman" w:cs="Times New Roman"/>
          <w:sz w:val="24"/>
          <w:szCs w:val="24"/>
        </w:rPr>
        <w:t xml:space="preserve">veino-occlusive </w:t>
      </w:r>
      <w:r w:rsidR="001839BD" w:rsidRPr="006020ED">
        <w:rPr>
          <w:rFonts w:ascii="Times New Roman" w:hAnsi="Times New Roman" w:cs="Times New Roman"/>
          <w:sz w:val="24"/>
          <w:szCs w:val="24"/>
        </w:rPr>
        <w:t xml:space="preserve">(maladie associée à la radiothérapie, à l'administration d'azathioprine et d'autres agents cytotoxiques </w:t>
      </w:r>
      <w:r w:rsidR="001839BD" w:rsidRPr="006020ED">
        <w:rPr>
          <w:rFonts w:ascii="Times New Roman" w:hAnsi="Times New Roman" w:cs="Times New Roman"/>
          <w:sz w:val="24"/>
          <w:szCs w:val="24"/>
        </w:rPr>
        <w:lastRenderedPageBreak/>
        <w:t xml:space="preserve">utilisés dans les transplantations rénales et médullaires – ces agents peuvent détruire les cellules endothéliales au niveau des veinules hépatiques terminales et des sinusoïdes) </w:t>
      </w:r>
      <w:r w:rsidR="001C75FD">
        <w:rPr>
          <w:rFonts w:ascii="Times New Roman" w:hAnsi="Times New Roman" w:cs="Times New Roman"/>
          <w:sz w:val="24"/>
          <w:szCs w:val="24"/>
        </w:rPr>
        <w:t>;</w:t>
      </w:r>
    </w:p>
    <w:p w14:paraId="111B7B4B" w14:textId="77777777" w:rsidR="0028522A" w:rsidRPr="005A2C25" w:rsidRDefault="005A2C25" w:rsidP="005E2426">
      <w:pPr>
        <w:ind w:firstLine="720"/>
        <w:jc w:val="both"/>
        <w:rPr>
          <w:rFonts w:ascii="Times New Roman" w:hAnsi="Times New Roman" w:cs="Times New Roman"/>
          <w:sz w:val="24"/>
          <w:szCs w:val="24"/>
        </w:rPr>
      </w:pPr>
      <w:r>
        <w:rPr>
          <w:rFonts w:ascii="Times New Roman" w:hAnsi="Times New Roman" w:cs="Times New Roman"/>
          <w:sz w:val="24"/>
          <w:szCs w:val="24"/>
        </w:rPr>
        <w:t xml:space="preserve">Un certain </w:t>
      </w:r>
      <w:r w:rsidRPr="00784E4C">
        <w:rPr>
          <w:rFonts w:ascii="Times New Roman" w:hAnsi="Times New Roman" w:cs="Times New Roman"/>
          <w:sz w:val="24"/>
          <w:szCs w:val="24"/>
        </w:rPr>
        <w:t xml:space="preserve">nombre de </w:t>
      </w:r>
      <w:r w:rsidRPr="005A2C25">
        <w:rPr>
          <w:rFonts w:ascii="Times New Roman" w:hAnsi="Times New Roman" w:cs="Times New Roman"/>
          <w:i/>
          <w:sz w:val="24"/>
          <w:szCs w:val="24"/>
        </w:rPr>
        <w:t>maladies héréditaires</w:t>
      </w:r>
      <w:r w:rsidRPr="00784E4C">
        <w:rPr>
          <w:rFonts w:ascii="Times New Roman" w:hAnsi="Times New Roman" w:cs="Times New Roman"/>
          <w:sz w:val="24"/>
          <w:szCs w:val="24"/>
        </w:rPr>
        <w:t xml:space="preserve">, par exemple les maladies de stockage du glycogène, la maladie de Wilson, </w:t>
      </w:r>
      <w:r>
        <w:rPr>
          <w:rFonts w:ascii="Times New Roman" w:hAnsi="Times New Roman" w:cs="Times New Roman"/>
          <w:sz w:val="24"/>
          <w:szCs w:val="24"/>
        </w:rPr>
        <w:t>la galactosémie, l'hémochromatose</w:t>
      </w:r>
      <w:r w:rsidRPr="005C6DA0">
        <w:rPr>
          <w:rFonts w:ascii="Times New Roman" w:hAnsi="Times New Roman" w:cs="Times New Roman"/>
          <w:sz w:val="24"/>
          <w:szCs w:val="24"/>
        </w:rPr>
        <w:t xml:space="preserve">, </w:t>
      </w:r>
      <w:r w:rsidRPr="00784E4C">
        <w:rPr>
          <w:rFonts w:ascii="Times New Roman" w:hAnsi="Times New Roman" w:cs="Times New Roman"/>
          <w:sz w:val="24"/>
          <w:szCs w:val="24"/>
        </w:rPr>
        <w:t>le déficit en</w:t>
      </w:r>
      <w:r w:rsidRPr="005C6DA0">
        <w:rPr>
          <w:rFonts w:ascii="Times New Roman" w:hAnsi="Times New Roman" w:cs="Times New Roman"/>
          <w:sz w:val="24"/>
          <w:szCs w:val="24"/>
        </w:rPr>
        <w:t xml:space="preserve"> α</w:t>
      </w:r>
      <w:r w:rsidRPr="001C75FD">
        <w:rPr>
          <w:rFonts w:ascii="Times New Roman" w:hAnsi="Times New Roman" w:cs="Times New Roman"/>
          <w:sz w:val="24"/>
          <w:szCs w:val="24"/>
          <w:vertAlign w:val="subscript"/>
        </w:rPr>
        <w:t>1</w:t>
      </w:r>
      <w:r w:rsidRPr="005C6DA0">
        <w:rPr>
          <w:rFonts w:ascii="Times New Roman" w:hAnsi="Times New Roman" w:cs="Times New Roman"/>
          <w:sz w:val="24"/>
          <w:szCs w:val="24"/>
        </w:rPr>
        <w:t xml:space="preserve">-antitrypsine, </w:t>
      </w:r>
      <w:r>
        <w:rPr>
          <w:rFonts w:ascii="Times New Roman" w:hAnsi="Times New Roman" w:cs="Times New Roman"/>
          <w:sz w:val="24"/>
          <w:szCs w:val="24"/>
        </w:rPr>
        <w:t xml:space="preserve">peuvent entraîner une insuffisance hépatique </w:t>
      </w:r>
      <w:r w:rsidRPr="00784E4C">
        <w:rPr>
          <w:rFonts w:ascii="Times New Roman" w:hAnsi="Times New Roman" w:cs="Times New Roman"/>
          <w:sz w:val="24"/>
          <w:szCs w:val="24"/>
        </w:rPr>
        <w:t>;</w:t>
      </w:r>
    </w:p>
    <w:p w14:paraId="6655A69D" w14:textId="77777777" w:rsidR="0028522A" w:rsidRDefault="0028522A" w:rsidP="005A2C25">
      <w:pPr>
        <w:pStyle w:val="Titlu1"/>
        <w:spacing w:line="276" w:lineRule="auto"/>
        <w:rPr>
          <w:szCs w:val="24"/>
          <w:lang w:val="en-US"/>
        </w:rPr>
      </w:pPr>
      <w:r w:rsidRPr="005A2C25">
        <w:rPr>
          <w:i/>
          <w:szCs w:val="24"/>
          <w:lang w:val="en-US"/>
        </w:rPr>
        <w:t xml:space="preserve">          Endocrinien – </w:t>
      </w:r>
      <w:r w:rsidRPr="0028522A">
        <w:rPr>
          <w:szCs w:val="24"/>
          <w:lang w:val="en-US"/>
        </w:rPr>
        <w:t xml:space="preserve">troubles endocriniens dans le diabète sucré, </w:t>
      </w:r>
      <w:r w:rsidR="005A2C25">
        <w:rPr>
          <w:szCs w:val="24"/>
          <w:lang w:val="en-US"/>
        </w:rPr>
        <w:t>l'hyperthyroïdie</w:t>
      </w:r>
      <w:r w:rsidRPr="0028522A">
        <w:rPr>
          <w:szCs w:val="24"/>
          <w:lang w:val="en-US"/>
        </w:rPr>
        <w:t xml:space="preserve">, l'obésité qui peuvent affecter </w:t>
      </w:r>
      <w:r w:rsidR="002535B0">
        <w:rPr>
          <w:szCs w:val="24"/>
          <w:lang w:val="en-US"/>
        </w:rPr>
        <w:t>les fonctions</w:t>
      </w:r>
      <w:r w:rsidRPr="0028522A">
        <w:rPr>
          <w:szCs w:val="24"/>
          <w:lang w:val="en-US"/>
        </w:rPr>
        <w:t xml:space="preserve"> hépatocytaires. </w:t>
      </w:r>
    </w:p>
    <w:p w14:paraId="7EE5C1FA" w14:textId="77777777" w:rsidR="009C60A7" w:rsidRPr="009C60A7" w:rsidRDefault="009C60A7" w:rsidP="009C60A7">
      <w:pPr>
        <w:ind w:firstLine="720"/>
        <w:jc w:val="both"/>
        <w:rPr>
          <w:rFonts w:ascii="Times New Roman" w:hAnsi="Times New Roman" w:cs="Times New Roman"/>
          <w:sz w:val="24"/>
          <w:szCs w:val="24"/>
        </w:rPr>
      </w:pPr>
      <w:r w:rsidRPr="009C60A7">
        <w:rPr>
          <w:rFonts w:ascii="Times New Roman" w:hAnsi="Times New Roman" w:cs="Times New Roman"/>
          <w:i/>
          <w:sz w:val="24"/>
          <w:szCs w:val="24"/>
        </w:rPr>
        <w:t xml:space="preserve">Cancer hépatique : </w:t>
      </w:r>
      <w:r w:rsidRPr="006020ED">
        <w:rPr>
          <w:rFonts w:ascii="Times New Roman" w:hAnsi="Times New Roman" w:cs="Times New Roman"/>
          <w:sz w:val="24"/>
          <w:szCs w:val="24"/>
        </w:rPr>
        <w:t>primaire (carcinome hépatocellulaire, hépatoblastome, angiosarcome, etc.) et secondaire (extension métastatique d'un cancer primaire du gros intestin, des bronches, du pancréas, de l'estomac, etc.)</w:t>
      </w:r>
    </w:p>
    <w:p w14:paraId="4F4F9811" w14:textId="77777777" w:rsidR="0028522A" w:rsidRPr="00D50B9E" w:rsidRDefault="0028522A" w:rsidP="00555D38">
      <w:pPr>
        <w:pStyle w:val="Titlu1"/>
        <w:spacing w:line="276" w:lineRule="auto"/>
        <w:rPr>
          <w:i/>
          <w:szCs w:val="24"/>
          <w:lang w:val="en-US"/>
        </w:rPr>
      </w:pPr>
      <w:r w:rsidRPr="0028522A">
        <w:rPr>
          <w:szCs w:val="24"/>
          <w:lang w:val="en-US"/>
        </w:rPr>
        <w:t xml:space="preserve">      </w:t>
      </w:r>
      <w:r w:rsidR="00555D38" w:rsidRPr="00CD4E10">
        <w:rPr>
          <w:sz w:val="20"/>
          <w:lang w:val="en-US"/>
        </w:rPr>
        <w:t xml:space="preserve">            </w:t>
      </w:r>
      <w:r w:rsidR="00555D38" w:rsidRPr="00555D38">
        <w:rPr>
          <w:szCs w:val="24"/>
          <w:lang w:val="en-US"/>
        </w:rPr>
        <w:t>L'insuffisance hépatique résultant de l'action directe d'agents</w:t>
      </w:r>
      <w:r w:rsidR="00555D38">
        <w:rPr>
          <w:szCs w:val="24"/>
          <w:lang w:val="en-US"/>
        </w:rPr>
        <w:t xml:space="preserve"> nocifs </w:t>
      </w:r>
      <w:r w:rsidR="00555D38" w:rsidRPr="00555D38">
        <w:rPr>
          <w:szCs w:val="24"/>
          <w:lang w:val="en-US"/>
        </w:rPr>
        <w:t xml:space="preserve">est appelée </w:t>
      </w:r>
      <w:r w:rsidR="00555D38" w:rsidRPr="00D50B9E">
        <w:rPr>
          <w:i/>
          <w:szCs w:val="24"/>
          <w:lang w:val="en-US"/>
        </w:rPr>
        <w:t xml:space="preserve">insuffisance hépatique primaire. </w:t>
      </w:r>
      <w:r w:rsidR="00555D38" w:rsidRPr="00555D38">
        <w:rPr>
          <w:szCs w:val="24"/>
          <w:lang w:val="en-US"/>
        </w:rPr>
        <w:t xml:space="preserve">Lorsque l'insuffisance hépatique résulte de troubles situés </w:t>
      </w:r>
      <w:r w:rsidR="002535B0">
        <w:rPr>
          <w:szCs w:val="24"/>
          <w:lang w:val="en-US"/>
        </w:rPr>
        <w:t xml:space="preserve">à distance du foie (par exemple, </w:t>
      </w:r>
      <w:r w:rsidR="00555D38" w:rsidRPr="00555D38">
        <w:rPr>
          <w:szCs w:val="24"/>
          <w:lang w:val="en-US"/>
        </w:rPr>
        <w:t xml:space="preserve">stase sanguine en cas d'insuffisance cardiaque, </w:t>
      </w:r>
      <w:r w:rsidR="00555D38">
        <w:rPr>
          <w:szCs w:val="24"/>
          <w:lang w:val="en-US"/>
        </w:rPr>
        <w:t>troubles</w:t>
      </w:r>
      <w:r w:rsidR="00555D38" w:rsidRPr="00555D38">
        <w:rPr>
          <w:szCs w:val="24"/>
          <w:lang w:val="en-US"/>
        </w:rPr>
        <w:t xml:space="preserve"> endocriniens), cette forme est appelée </w:t>
      </w:r>
      <w:r w:rsidR="00555D38" w:rsidRPr="00D50B9E">
        <w:rPr>
          <w:i/>
          <w:szCs w:val="24"/>
          <w:lang w:val="en-US"/>
        </w:rPr>
        <w:t>insuffisance hépatique secondaire.</w:t>
      </w:r>
    </w:p>
    <w:p w14:paraId="3B89B4F2" w14:textId="77777777" w:rsidR="009852E9" w:rsidRDefault="005A2C25" w:rsidP="005A2C2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L'insuffisance hépatique </w:t>
      </w:r>
      <w:r w:rsidR="00CD7853" w:rsidRPr="00CD7853">
        <w:rPr>
          <w:rFonts w:ascii="Times New Roman" w:hAnsi="Times New Roman" w:cs="Times New Roman"/>
          <w:sz w:val="24"/>
          <w:szCs w:val="24"/>
        </w:rPr>
        <w:t xml:space="preserve">peut résulter d'une destruction soudaine et massive du foie, comme dans le cas d'une hépatite fulminante, ou être le résultat d'une détérioration progressive du foie, comme dans le cas d'une cirrhose alcoolique. Quelle que soit la cause, 80 à 90 % de la capacité fonctionnelle hépatique doit être perdue avant que l'insuffisance hépatique ne survienne. Dans de nombreux cas, les effets décompensatoires progressifs de la maladie sont accélérés par des affections intercurrentes telles que des saignements gastro-intestinaux, une infection systémique, des troubles électrolytiques ou des maladies superposées telles que l'insuffisance cardiaque. </w:t>
      </w:r>
      <w:r w:rsidR="009852E9" w:rsidRPr="009852E9">
        <w:rPr>
          <w:rFonts w:ascii="Times New Roman" w:hAnsi="Times New Roman" w:cs="Times New Roman"/>
          <w:sz w:val="24"/>
          <w:szCs w:val="24"/>
        </w:rPr>
        <w:t>Lorsque le foie ne peut plus maintenir l'homéostasie, la transplantation offre le meilleur espoir de survie ; le taux de mortalité chez les personnes atteintes d'insuffisance hépatique sans transplantation hépatique est d'environ 80 %.</w:t>
      </w:r>
    </w:p>
    <w:p w14:paraId="2CEF698E" w14:textId="77777777" w:rsidR="0073392F" w:rsidRDefault="009C60A7" w:rsidP="00F95076">
      <w:pPr>
        <w:ind w:firstLine="720"/>
        <w:jc w:val="both"/>
        <w:rPr>
          <w:rFonts w:ascii="Times New Roman" w:hAnsi="Times New Roman" w:cs="Times New Roman"/>
          <w:color w:val="000000"/>
          <w:sz w:val="24"/>
          <w:szCs w:val="24"/>
        </w:rPr>
      </w:pPr>
      <w:r w:rsidRPr="00EB68B6">
        <w:rPr>
          <w:rFonts w:ascii="Times New Roman" w:hAnsi="Times New Roman" w:cs="Times New Roman"/>
          <w:i/>
          <w:sz w:val="24"/>
          <w:szCs w:val="24"/>
        </w:rPr>
        <w:t>Pathogenèse</w:t>
      </w:r>
      <w:r w:rsidR="00AA6783">
        <w:rPr>
          <w:rFonts w:ascii="Times New Roman" w:hAnsi="Times New Roman" w:cs="Times New Roman"/>
          <w:i/>
          <w:sz w:val="24"/>
          <w:szCs w:val="24"/>
        </w:rPr>
        <w:t xml:space="preserve">. </w:t>
      </w:r>
      <w:r>
        <w:rPr>
          <w:rFonts w:ascii="Times New Roman" w:hAnsi="Times New Roman" w:cs="Times New Roman"/>
          <w:sz w:val="24"/>
          <w:szCs w:val="24"/>
        </w:rPr>
        <w:t xml:space="preserve">L'infection virale induit une lésion des cellules hépatiques par inflammation et </w:t>
      </w:r>
      <w:r w:rsidR="00CC5959">
        <w:rPr>
          <w:rFonts w:ascii="Times New Roman" w:hAnsi="Times New Roman" w:cs="Times New Roman"/>
          <w:sz w:val="24"/>
          <w:szCs w:val="24"/>
        </w:rPr>
        <w:t xml:space="preserve">nécrose. L'effet hépatotoxique direct causé par un facteur physique ou mécanique est </w:t>
      </w:r>
      <w:r>
        <w:rPr>
          <w:rFonts w:ascii="Times New Roman" w:hAnsi="Times New Roman" w:cs="Times New Roman"/>
          <w:sz w:val="24"/>
          <w:szCs w:val="24"/>
        </w:rPr>
        <w:t xml:space="preserve">dû à </w:t>
      </w:r>
      <w:r w:rsidR="00CC5959">
        <w:rPr>
          <w:rFonts w:ascii="Times New Roman" w:hAnsi="Times New Roman" w:cs="Times New Roman"/>
          <w:sz w:val="24"/>
          <w:szCs w:val="24"/>
        </w:rPr>
        <w:t>une lésion</w:t>
      </w:r>
      <w:r>
        <w:rPr>
          <w:rFonts w:ascii="Times New Roman" w:hAnsi="Times New Roman" w:cs="Times New Roman"/>
          <w:sz w:val="24"/>
          <w:szCs w:val="24"/>
        </w:rPr>
        <w:t xml:space="preserve"> directe </w:t>
      </w:r>
      <w:r w:rsidR="00CC5959">
        <w:rPr>
          <w:rFonts w:ascii="Times New Roman" w:hAnsi="Times New Roman" w:cs="Times New Roman"/>
          <w:sz w:val="24"/>
          <w:szCs w:val="24"/>
        </w:rPr>
        <w:t xml:space="preserve">qui </w:t>
      </w:r>
      <w:r>
        <w:rPr>
          <w:rFonts w:ascii="Times New Roman" w:hAnsi="Times New Roman" w:cs="Times New Roman"/>
          <w:sz w:val="24"/>
          <w:szCs w:val="24"/>
        </w:rPr>
        <w:t xml:space="preserve">déforme ou détruit les principales structures des cellules hépatiques et leurs organites. </w:t>
      </w:r>
      <w:r w:rsidR="000F6E7F">
        <w:rPr>
          <w:rFonts w:ascii="Times New Roman" w:hAnsi="Times New Roman" w:cs="Times New Roman"/>
          <w:sz w:val="24"/>
          <w:szCs w:val="24"/>
        </w:rPr>
        <w:t xml:space="preserve">Les mécanismes de lésion des hépatocytes en </w:t>
      </w:r>
      <w:r w:rsidR="00CC5959">
        <w:rPr>
          <w:rFonts w:ascii="Times New Roman" w:hAnsi="Times New Roman" w:cs="Times New Roman"/>
          <w:sz w:val="24"/>
          <w:szCs w:val="24"/>
        </w:rPr>
        <w:t xml:space="preserve">cas </w:t>
      </w:r>
      <w:r w:rsidR="00CC5959">
        <w:rPr>
          <w:rFonts w:ascii="Times New Roman" w:hAnsi="Times New Roman" w:cs="Times New Roman"/>
          <w:color w:val="000000"/>
          <w:sz w:val="24"/>
          <w:szCs w:val="24"/>
        </w:rPr>
        <w:t xml:space="preserve">d'hypoxie et de congestion hépatique </w:t>
      </w:r>
      <w:r w:rsidR="000F6E7F">
        <w:rPr>
          <w:rFonts w:ascii="Times New Roman" w:hAnsi="Times New Roman" w:cs="Times New Roman"/>
          <w:sz w:val="24"/>
          <w:szCs w:val="24"/>
        </w:rPr>
        <w:t xml:space="preserve">sont </w:t>
      </w:r>
      <w:r w:rsidR="00CC5959">
        <w:rPr>
          <w:rFonts w:ascii="Times New Roman" w:hAnsi="Times New Roman" w:cs="Times New Roman"/>
          <w:sz w:val="24"/>
          <w:szCs w:val="24"/>
        </w:rPr>
        <w:t xml:space="preserve">dus à </w:t>
      </w:r>
      <w:r w:rsidR="000F6E7F" w:rsidRPr="00711877">
        <w:rPr>
          <w:rFonts w:ascii="Times New Roman" w:hAnsi="Times New Roman" w:cs="Times New Roman"/>
          <w:color w:val="000000"/>
          <w:sz w:val="24"/>
          <w:szCs w:val="24"/>
        </w:rPr>
        <w:t xml:space="preserve">une carence en ATP résultant d'un métabolisme énergétique cellulaire anormal </w:t>
      </w:r>
      <w:r w:rsidR="000F6E7F">
        <w:rPr>
          <w:rFonts w:ascii="Times New Roman" w:hAnsi="Times New Roman" w:cs="Times New Roman"/>
          <w:color w:val="000000"/>
          <w:sz w:val="24"/>
          <w:szCs w:val="24"/>
        </w:rPr>
        <w:t xml:space="preserve">ainsi qu'à </w:t>
      </w:r>
      <w:r w:rsidR="000F6E7F" w:rsidRPr="00711877">
        <w:rPr>
          <w:rFonts w:ascii="Times New Roman" w:hAnsi="Times New Roman" w:cs="Times New Roman"/>
          <w:color w:val="000000"/>
          <w:sz w:val="24"/>
          <w:szCs w:val="24"/>
        </w:rPr>
        <w:t xml:space="preserve">une formation accrue de </w:t>
      </w:r>
      <w:r w:rsidR="000F6E7F">
        <w:rPr>
          <w:rFonts w:ascii="Times New Roman" w:hAnsi="Times New Roman" w:cs="Times New Roman"/>
          <w:color w:val="000000"/>
          <w:sz w:val="24"/>
          <w:szCs w:val="24"/>
        </w:rPr>
        <w:t>métabolites oxygénés hautement réactifs (</w:t>
      </w:r>
      <w:r w:rsidR="000F6E7F" w:rsidRPr="00711877">
        <w:rPr>
          <w:rFonts w:ascii="Times New Roman" w:hAnsi="Times New Roman" w:cs="Times New Roman"/>
          <w:color w:val="000000"/>
          <w:sz w:val="24"/>
          <w:szCs w:val="24"/>
        </w:rPr>
        <w:t>O</w:t>
      </w:r>
      <w:r w:rsidR="000F6E7F" w:rsidRPr="00711877">
        <w:rPr>
          <w:rFonts w:ascii="Times New Roman" w:hAnsi="Times New Roman" w:cs="Times New Roman"/>
          <w:color w:val="000000"/>
          <w:sz w:val="24"/>
          <w:szCs w:val="24"/>
          <w:vertAlign w:val="subscript"/>
        </w:rPr>
        <w:t>2</w:t>
      </w:r>
      <w:r w:rsidR="000F6E7F" w:rsidRPr="00711877">
        <w:rPr>
          <w:rFonts w:ascii="Times New Roman" w:hAnsi="Times New Roman" w:cs="Times New Roman"/>
          <w:color w:val="000000"/>
          <w:sz w:val="24"/>
          <w:szCs w:val="24"/>
          <w:vertAlign w:val="superscript"/>
        </w:rPr>
        <w:t>–</w:t>
      </w:r>
      <w:r w:rsidR="000F6E7F">
        <w:rPr>
          <w:rFonts w:ascii="Times New Roman" w:hAnsi="Times New Roman" w:cs="Times New Roman"/>
          <w:color w:val="000000"/>
          <w:sz w:val="24"/>
          <w:szCs w:val="24"/>
        </w:rPr>
        <w:t xml:space="preserve"> , </w:t>
      </w:r>
      <w:r w:rsidR="000F6E7F" w:rsidRPr="00711877">
        <w:rPr>
          <w:rFonts w:ascii="Times New Roman" w:hAnsi="Times New Roman" w:cs="Times New Roman"/>
          <w:color w:val="000000"/>
          <w:sz w:val="24"/>
          <w:szCs w:val="24"/>
        </w:rPr>
        <w:t>OH</w:t>
      </w:r>
      <w:r w:rsidR="000F6E7F" w:rsidRPr="004B4D7F">
        <w:rPr>
          <w:rFonts w:ascii="Times New Roman" w:hAnsi="Times New Roman" w:cs="Times New Roman"/>
          <w:color w:val="000000"/>
          <w:sz w:val="24"/>
          <w:szCs w:val="24"/>
          <w:vertAlign w:val="superscript"/>
        </w:rPr>
        <w:t>-</w:t>
      </w:r>
      <w:r w:rsidR="000F6E7F" w:rsidRPr="00711877">
        <w:rPr>
          <w:rFonts w:ascii="Times New Roman" w:hAnsi="Times New Roman" w:cs="Times New Roman"/>
          <w:color w:val="000000"/>
          <w:sz w:val="24"/>
          <w:szCs w:val="24"/>
        </w:rPr>
        <w:t xml:space="preserve"> , H</w:t>
      </w:r>
      <w:r w:rsidR="000F6E7F" w:rsidRPr="00711877">
        <w:rPr>
          <w:rFonts w:ascii="Times New Roman" w:hAnsi="Times New Roman" w:cs="Times New Roman"/>
          <w:color w:val="000000"/>
          <w:sz w:val="24"/>
          <w:szCs w:val="24"/>
          <w:vertAlign w:val="subscript"/>
        </w:rPr>
        <w:t>2</w:t>
      </w:r>
      <w:r w:rsidR="000F6E7F" w:rsidRPr="00711877">
        <w:rPr>
          <w:rFonts w:ascii="Times New Roman" w:hAnsi="Times New Roman" w:cs="Times New Roman"/>
          <w:color w:val="000000"/>
          <w:sz w:val="24"/>
          <w:szCs w:val="24"/>
        </w:rPr>
        <w:t xml:space="preserve"> O</w:t>
      </w:r>
      <w:r w:rsidR="000F6E7F" w:rsidRPr="00711877">
        <w:rPr>
          <w:rFonts w:ascii="Times New Roman" w:hAnsi="Times New Roman" w:cs="Times New Roman"/>
          <w:color w:val="000000"/>
          <w:sz w:val="24"/>
          <w:szCs w:val="24"/>
          <w:vertAlign w:val="subscript"/>
        </w:rPr>
        <w:t>2</w:t>
      </w:r>
      <w:r w:rsidR="000F6E7F">
        <w:rPr>
          <w:rFonts w:ascii="Times New Roman" w:hAnsi="Times New Roman" w:cs="Times New Roman"/>
          <w:color w:val="000000"/>
          <w:sz w:val="24"/>
          <w:szCs w:val="24"/>
        </w:rPr>
        <w:t xml:space="preserve"> ) avec une carence</w:t>
      </w:r>
      <w:r w:rsidR="000F6E7F" w:rsidRPr="00711877">
        <w:rPr>
          <w:rFonts w:ascii="Times New Roman" w:hAnsi="Times New Roman" w:cs="Times New Roman"/>
          <w:color w:val="000000"/>
          <w:sz w:val="24"/>
          <w:szCs w:val="24"/>
        </w:rPr>
        <w:t xml:space="preserve"> concomitante </w:t>
      </w:r>
      <w:r w:rsidR="000F6E7F">
        <w:rPr>
          <w:rFonts w:ascii="Times New Roman" w:hAnsi="Times New Roman" w:cs="Times New Roman"/>
          <w:color w:val="000000"/>
          <w:sz w:val="24"/>
          <w:szCs w:val="24"/>
        </w:rPr>
        <w:t>en antioxydants (</w:t>
      </w:r>
      <w:r w:rsidR="000F6E7F" w:rsidRPr="00711877">
        <w:rPr>
          <w:rFonts w:ascii="Times New Roman" w:hAnsi="Times New Roman" w:cs="Times New Roman"/>
          <w:color w:val="000000"/>
          <w:sz w:val="24"/>
          <w:szCs w:val="24"/>
        </w:rPr>
        <w:t xml:space="preserve">glutathion) et/ou une détérioration des enzymes protectrices (glutathion </w:t>
      </w:r>
      <w:r w:rsidR="000F6E7F">
        <w:rPr>
          <w:rFonts w:ascii="Times New Roman" w:hAnsi="Times New Roman" w:cs="Times New Roman"/>
          <w:color w:val="000000"/>
          <w:sz w:val="24"/>
          <w:szCs w:val="24"/>
        </w:rPr>
        <w:t xml:space="preserve">peroxydase, superoxyde dismutase). </w:t>
      </w:r>
      <w:r w:rsidR="000F6E7F" w:rsidRPr="00711877">
        <w:rPr>
          <w:rFonts w:ascii="Times New Roman" w:hAnsi="Times New Roman" w:cs="Times New Roman"/>
          <w:color w:val="000000"/>
          <w:sz w:val="24"/>
          <w:szCs w:val="24"/>
        </w:rPr>
        <w:t xml:space="preserve">Les </w:t>
      </w:r>
      <w:r w:rsidR="00CC5959">
        <w:rPr>
          <w:rFonts w:ascii="Times New Roman" w:hAnsi="Times New Roman" w:cs="Times New Roman"/>
          <w:color w:val="000000"/>
          <w:sz w:val="24"/>
          <w:szCs w:val="24"/>
        </w:rPr>
        <w:t xml:space="preserve">métabolites </w:t>
      </w:r>
      <w:r w:rsidR="000F6E7F" w:rsidRPr="00711877">
        <w:rPr>
          <w:rFonts w:ascii="Times New Roman" w:hAnsi="Times New Roman" w:cs="Times New Roman"/>
          <w:color w:val="000000"/>
          <w:sz w:val="24"/>
          <w:szCs w:val="24"/>
        </w:rPr>
        <w:t>O</w:t>
      </w:r>
      <w:r w:rsidR="000F6E7F" w:rsidRPr="00711877">
        <w:rPr>
          <w:rFonts w:ascii="Times New Roman" w:hAnsi="Times New Roman" w:cs="Times New Roman"/>
          <w:color w:val="000000"/>
          <w:sz w:val="24"/>
          <w:szCs w:val="24"/>
          <w:vertAlign w:val="subscript"/>
        </w:rPr>
        <w:t>2</w:t>
      </w:r>
      <w:r w:rsidR="00CC5959">
        <w:rPr>
          <w:rFonts w:ascii="Times New Roman" w:hAnsi="Times New Roman" w:cs="Times New Roman"/>
          <w:color w:val="000000"/>
          <w:sz w:val="24"/>
          <w:szCs w:val="24"/>
        </w:rPr>
        <w:t xml:space="preserve"> réagissent avec </w:t>
      </w:r>
      <w:r w:rsidR="000F6E7F" w:rsidRPr="00711877">
        <w:rPr>
          <w:rFonts w:ascii="Times New Roman" w:hAnsi="Times New Roman" w:cs="Times New Roman"/>
          <w:color w:val="000000"/>
          <w:sz w:val="24"/>
          <w:szCs w:val="24"/>
        </w:rPr>
        <w:t>les acides gras insaturés des phospholipides (peroxydation lipidique). Cela contribue à endommager les membranes plasmiques et les organites cellulaires (lysosomes, réticulum endoplasmique). En conséquence, la concentration cytosolique en Ca</w:t>
      </w:r>
      <w:r w:rsidR="000F6E7F" w:rsidRPr="00C71CE1">
        <w:rPr>
          <w:rFonts w:ascii="Times New Roman" w:hAnsi="Times New Roman" w:cs="Times New Roman"/>
          <w:color w:val="000000"/>
          <w:sz w:val="24"/>
          <w:szCs w:val="24"/>
          <w:vertAlign w:val="superscript"/>
        </w:rPr>
        <w:t>2</w:t>
      </w:r>
      <w:r w:rsidR="000F6E7F" w:rsidRPr="00711877">
        <w:rPr>
          <w:rFonts w:ascii="Times New Roman" w:hAnsi="Times New Roman" w:cs="Times New Roman"/>
          <w:color w:val="000000"/>
          <w:sz w:val="24"/>
          <w:szCs w:val="24"/>
          <w:vertAlign w:val="superscript"/>
        </w:rPr>
        <w:t>+</w:t>
      </w:r>
      <w:r w:rsidR="000F6E7F" w:rsidRPr="00711877">
        <w:rPr>
          <w:rFonts w:ascii="Times New Roman" w:hAnsi="Times New Roman" w:cs="Times New Roman"/>
          <w:color w:val="000000"/>
          <w:sz w:val="24"/>
          <w:szCs w:val="24"/>
        </w:rPr>
        <w:t xml:space="preserve">  augmente, activant les protéases et d'autres enzymes, de sorte que les cellules finissent par être irréversiblement endommagées </w:t>
      </w:r>
      <w:r w:rsidR="000F6E7F">
        <w:rPr>
          <w:rFonts w:ascii="Times New Roman" w:hAnsi="Times New Roman" w:cs="Times New Roman"/>
          <w:color w:val="000000"/>
          <w:sz w:val="24"/>
          <w:szCs w:val="24"/>
        </w:rPr>
        <w:t>(voir lésions cellulaires)</w:t>
      </w:r>
      <w:r w:rsidR="003D6121">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Dans </w:t>
      </w:r>
      <w:r w:rsidR="0073392F" w:rsidRPr="005D0642">
        <w:rPr>
          <w:rFonts w:ascii="Times New Roman" w:hAnsi="Times New Roman" w:cs="Times New Roman"/>
          <w:i/>
          <w:iCs/>
          <w:color w:val="000000"/>
          <w:sz w:val="24"/>
          <w:szCs w:val="24"/>
        </w:rPr>
        <w:t>la nécrose hépatocytaire</w:t>
      </w:r>
      <w:r w:rsidR="0073392F" w:rsidRPr="005D0642">
        <w:rPr>
          <w:rFonts w:ascii="Times New Roman" w:hAnsi="Times New Roman" w:cs="Times New Roman"/>
          <w:color w:val="000000"/>
          <w:sz w:val="24"/>
          <w:szCs w:val="24"/>
        </w:rPr>
        <w:t xml:space="preserve">, la cellule gonfle en raison d'une régulation osmotique défectueuse au niveau de la membrane cellulaire </w:t>
      </w:r>
      <w:r w:rsidR="00CC5959">
        <w:rPr>
          <w:rFonts w:ascii="Times New Roman" w:hAnsi="Times New Roman" w:cs="Times New Roman"/>
          <w:color w:val="000000"/>
          <w:sz w:val="24"/>
          <w:szCs w:val="24"/>
        </w:rPr>
        <w:t>(hyperosmolarité intracellulaire due à l'accumulation d'ions sodium)</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le liquide s'écoule dans la cellule, qui gonfle et se rompt. Avant même la rupture, des vésicules membranaires se forment, transportant le contenu cytoplasmique (sans organites) dans le compartiment extracellulaire. Les macrophages se regroupent à ces sites de lésions et marquent les sites de nécrose hépatocytaire, car les cellules mourantes éclatent et disparaissent. Cette forme de lésion est le mode de mort prédominant dans les lésions ischémiques/hypoxiques et une partie importante de la réponse au stress oxydatif.</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Lorsqu'il y a une perte parenchymateuse étendue, on observe souvent des signes de </w:t>
      </w:r>
      <w:r w:rsidR="0073392F" w:rsidRPr="005D0642">
        <w:rPr>
          <w:rFonts w:ascii="Times New Roman" w:hAnsi="Times New Roman" w:cs="Times New Roman"/>
          <w:i/>
          <w:iCs/>
          <w:color w:val="000000"/>
          <w:sz w:val="24"/>
          <w:szCs w:val="24"/>
        </w:rPr>
        <w:t>nécrose confluente</w:t>
      </w:r>
      <w:r w:rsidR="0073392F" w:rsidRPr="005D0642">
        <w:rPr>
          <w:rFonts w:ascii="Times New Roman" w:hAnsi="Times New Roman" w:cs="Times New Roman"/>
          <w:color w:val="000000"/>
          <w:sz w:val="24"/>
          <w:szCs w:val="24"/>
        </w:rPr>
        <w:t xml:space="preserve">, une perte sévère et zonale d'hépatocytes. Cela peut être observé dans les lésions toxiques ou ischémiques aiguës ou dans les hépatites virales ou auto-immunes sévères. La nécrose confluente peut commencer par une zone de perte d'hépatocytes autour de la veine centrale. L'espace qui en résulte est rempli de débris cellulaires, de macrophages et de restes du réseau réticuline. Dans </w:t>
      </w:r>
      <w:r w:rsidR="0073392F" w:rsidRPr="005D0642">
        <w:rPr>
          <w:rFonts w:ascii="Times New Roman" w:hAnsi="Times New Roman" w:cs="Times New Roman"/>
          <w:i/>
          <w:iCs/>
          <w:color w:val="000000"/>
          <w:sz w:val="24"/>
          <w:szCs w:val="24"/>
        </w:rPr>
        <w:t xml:space="preserve">la nécrose en pont, </w:t>
      </w:r>
      <w:r w:rsidR="0073392F" w:rsidRPr="005D0642">
        <w:rPr>
          <w:rFonts w:ascii="Times New Roman" w:hAnsi="Times New Roman" w:cs="Times New Roman"/>
          <w:color w:val="000000"/>
          <w:sz w:val="24"/>
          <w:szCs w:val="24"/>
        </w:rPr>
        <w:t xml:space="preserve">cette zone peut relier les veines centrales aux voies portales ou relier des voies portales adjacentes (souvent avec une veine centrale apparente dans la zone de lésion). Même dans des maladies telles que l'hépatite virale, où les hépatocytes sont les principales cibles de l'attaque, </w:t>
      </w:r>
      <w:r w:rsidR="0073392F">
        <w:rPr>
          <w:rFonts w:ascii="Times New Roman" w:hAnsi="Times New Roman" w:cs="Times New Roman"/>
          <w:color w:val="000000"/>
          <w:sz w:val="24"/>
          <w:szCs w:val="24"/>
        </w:rPr>
        <w:t xml:space="preserve">les agressions </w:t>
      </w:r>
      <w:r w:rsidR="0073392F" w:rsidRPr="005D0642">
        <w:rPr>
          <w:rFonts w:ascii="Times New Roman" w:hAnsi="Times New Roman" w:cs="Times New Roman"/>
          <w:color w:val="000000"/>
          <w:sz w:val="24"/>
          <w:szCs w:val="24"/>
        </w:rPr>
        <w:t xml:space="preserve">vasculaires </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par inflammation ou thrombose </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entraînent l'extinction du parenchyme en raison de la mort de vastes zones contiguës d'hépatocytes.</w:t>
      </w:r>
      <w:r w:rsidR="00F95076">
        <w:rPr>
          <w:rFonts w:ascii="Times New Roman" w:hAnsi="Times New Roman" w:cs="Times New Roman"/>
          <w:color w:val="000000"/>
          <w:sz w:val="24"/>
          <w:szCs w:val="24"/>
        </w:rPr>
        <w:t xml:space="preserve"> </w:t>
      </w:r>
      <w:r w:rsidR="0073392F" w:rsidRPr="005D0642">
        <w:rPr>
          <w:rFonts w:ascii="Times New Roman" w:hAnsi="Times New Roman" w:cs="Times New Roman"/>
          <w:i/>
          <w:iCs/>
          <w:color w:val="000000"/>
          <w:sz w:val="24"/>
          <w:szCs w:val="24"/>
        </w:rPr>
        <w:t xml:space="preserve">L'apoptose hépatocytaire </w:t>
      </w:r>
      <w:r w:rsidR="0073392F" w:rsidRPr="005D0642">
        <w:rPr>
          <w:rFonts w:ascii="Times New Roman" w:hAnsi="Times New Roman" w:cs="Times New Roman"/>
          <w:color w:val="000000"/>
          <w:sz w:val="24"/>
          <w:szCs w:val="24"/>
        </w:rPr>
        <w:t>est une forme active de mort cellulaire « programmée » qui entraîne un rétrécissement des hépatocytes, une condensation de la chromatine nucléaire (</w:t>
      </w:r>
      <w:r w:rsidR="0073392F" w:rsidRPr="005D0642">
        <w:rPr>
          <w:rFonts w:ascii="Times New Roman" w:hAnsi="Times New Roman" w:cs="Times New Roman"/>
          <w:i/>
          <w:iCs/>
          <w:color w:val="000000"/>
          <w:sz w:val="24"/>
          <w:szCs w:val="24"/>
        </w:rPr>
        <w:t>pycnose</w:t>
      </w:r>
      <w:r w:rsidR="0073392F" w:rsidRPr="005D0642">
        <w:rPr>
          <w:rFonts w:ascii="Times New Roman" w:hAnsi="Times New Roman" w:cs="Times New Roman"/>
          <w:color w:val="000000"/>
          <w:sz w:val="24"/>
          <w:szCs w:val="24"/>
        </w:rPr>
        <w:t>), une fragmentation (</w:t>
      </w:r>
      <w:r w:rsidR="0073392F" w:rsidRPr="005D0642">
        <w:rPr>
          <w:rFonts w:ascii="Times New Roman" w:hAnsi="Times New Roman" w:cs="Times New Roman"/>
          <w:i/>
          <w:iCs/>
          <w:color w:val="000000"/>
          <w:sz w:val="24"/>
          <w:szCs w:val="24"/>
        </w:rPr>
        <w:t>caryorhexis</w:t>
      </w:r>
      <w:r w:rsidR="0073392F" w:rsidRPr="005D0642">
        <w:rPr>
          <w:rFonts w:ascii="Times New Roman" w:hAnsi="Times New Roman" w:cs="Times New Roman"/>
          <w:color w:val="000000"/>
          <w:sz w:val="24"/>
          <w:szCs w:val="24"/>
        </w:rPr>
        <w:t xml:space="preserve">) et une fragmentation cellulaire en </w:t>
      </w:r>
      <w:r w:rsidR="0073392F" w:rsidRPr="005D0642">
        <w:rPr>
          <w:rFonts w:ascii="Times New Roman" w:hAnsi="Times New Roman" w:cs="Times New Roman"/>
          <w:i/>
          <w:iCs/>
          <w:color w:val="000000"/>
          <w:sz w:val="24"/>
          <w:szCs w:val="24"/>
        </w:rPr>
        <w:t>corps apoptotiques</w:t>
      </w:r>
      <w:r w:rsidR="0073392F" w:rsidRPr="005D0642">
        <w:rPr>
          <w:rFonts w:ascii="Times New Roman" w:hAnsi="Times New Roman" w:cs="Times New Roman"/>
          <w:color w:val="000000"/>
          <w:sz w:val="24"/>
          <w:szCs w:val="24"/>
        </w:rPr>
        <w:t xml:space="preserve"> acidophiles.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Les hépatocytes apoptotiques ont été clairement décrits pour la première fois dans le cas de la fièvre jaune par William Thomas Councilman et sont donc souvent appelés « </w:t>
      </w:r>
      <w:r w:rsidR="0073392F" w:rsidRPr="005D0642">
        <w:rPr>
          <w:rFonts w:ascii="Times New Roman" w:hAnsi="Times New Roman" w:cs="Times New Roman"/>
          <w:i/>
          <w:iCs/>
          <w:color w:val="000000"/>
          <w:sz w:val="24"/>
          <w:szCs w:val="24"/>
        </w:rPr>
        <w:t>corps de Councilman</w:t>
      </w:r>
      <w:r w:rsidR="0073392F" w:rsidRPr="005D0642">
        <w:rPr>
          <w:rFonts w:ascii="Times New Roman" w:hAnsi="Times New Roman" w:cs="Times New Roman"/>
          <w:color w:val="000000"/>
          <w:sz w:val="24"/>
          <w:szCs w:val="24"/>
        </w:rPr>
        <w:t xml:space="preserve"> » ; bien que l'apoptose se produise dans de nombreuses formes de maladies hépatiques, par convention, cet éponyme est réservé à cette maladie. </w:t>
      </w:r>
    </w:p>
    <w:p w14:paraId="77B1248E" w14:textId="77777777" w:rsidR="00F96697" w:rsidRPr="00F96697" w:rsidRDefault="00F96697" w:rsidP="00F96697">
      <w:pPr>
        <w:ind w:firstLine="720"/>
        <w:jc w:val="both"/>
        <w:rPr>
          <w:rFonts w:ascii="Times New Roman" w:hAnsi="Times New Roman" w:cs="Times New Roman"/>
          <w:sz w:val="24"/>
          <w:szCs w:val="24"/>
        </w:rPr>
      </w:pPr>
      <w:r w:rsidRPr="005D0642">
        <w:rPr>
          <w:rFonts w:ascii="Times New Roman" w:hAnsi="Times New Roman" w:cs="Times New Roman"/>
          <w:sz w:val="24"/>
          <w:szCs w:val="24"/>
        </w:rPr>
        <w:t xml:space="preserve">Les systèmes immunitaires inné et adaptatif sont, sans surprise, impliqués dans tous les types de lésions et de réparations hépatiques. Les antigènes présents dans le foie sont captés par les cellules présentatrices d'antigènes, </w:t>
      </w:r>
      <w:r>
        <w:rPr>
          <w:rFonts w:ascii="Times New Roman" w:hAnsi="Times New Roman" w:cs="Times New Roman"/>
          <w:color w:val="000000"/>
          <w:sz w:val="24"/>
          <w:szCs w:val="24"/>
        </w:rPr>
        <w:t xml:space="preserve">notamment </w:t>
      </w:r>
      <w:r w:rsidRPr="005D0642">
        <w:rPr>
          <w:rFonts w:ascii="Times New Roman" w:hAnsi="Times New Roman" w:cs="Times New Roman"/>
          <w:color w:val="000000"/>
          <w:sz w:val="24"/>
          <w:szCs w:val="24"/>
        </w:rPr>
        <w:t xml:space="preserve">les cellules de Kupffer et les cellules dendritiques dérivées du sang, puis présentés aux lymphocytes. Les récepteurs Toll-like détectent les molécules de l'hôte, ainsi que celles provenant d'envahisseurs étrangers tels que les bactéries et les virus. Ces processus conduisent à l'élaboration de cytokines pro-inflammatoires </w:t>
      </w:r>
      <w:r>
        <w:rPr>
          <w:rFonts w:ascii="Times New Roman" w:hAnsi="Times New Roman" w:cs="Times New Roman"/>
          <w:color w:val="000000"/>
          <w:sz w:val="24"/>
          <w:szCs w:val="24"/>
        </w:rPr>
        <w:t>(IL, TNF, TGF)</w:t>
      </w:r>
      <w:r w:rsidRPr="005D0642">
        <w:rPr>
          <w:rFonts w:ascii="Times New Roman" w:hAnsi="Times New Roman" w:cs="Times New Roman"/>
          <w:color w:val="000000"/>
          <w:sz w:val="24"/>
          <w:szCs w:val="24"/>
        </w:rPr>
        <w:t>, qui ont divers effets sur le foie, notamment le recrutement de cellules inflammatoires, des lésions hépatocytaires, des troubles vasculaires, la promotion de la cicatrisation et peut-être même une transformation maligne. L'immunité adaptative joue un rôle encore plus critique dans l'hépatite virale. Les lymphocytes T spécifiques de l'antigène et CD</w:t>
      </w:r>
      <w:r w:rsidRPr="00CD7853">
        <w:rPr>
          <w:rFonts w:ascii="Times New Roman" w:hAnsi="Times New Roman" w:cs="Times New Roman"/>
          <w:color w:val="000000"/>
          <w:sz w:val="24"/>
          <w:szCs w:val="24"/>
          <w:vertAlign w:val="subscript"/>
        </w:rPr>
        <w:t>8</w:t>
      </w:r>
      <w:r w:rsidRPr="00CD7853">
        <w:rPr>
          <w:rFonts w:ascii="Times New Roman" w:eastAsia="SymbolNew-Medium" w:hAnsi="Times New Roman" w:cs="Times New Roman"/>
          <w:color w:val="000000"/>
          <w:sz w:val="24"/>
          <w:szCs w:val="24"/>
          <w:vertAlign w:val="superscript"/>
        </w:rPr>
        <w:t>+</w:t>
      </w:r>
      <w:r w:rsidRPr="005D0642">
        <w:rPr>
          <w:rFonts w:ascii="Times New Roman" w:hAnsi="Times New Roman" w:cs="Times New Roman"/>
          <w:color w:val="000000"/>
          <w:sz w:val="24"/>
          <w:szCs w:val="24"/>
        </w:rPr>
        <w:t xml:space="preserve"> participent à l'éradication des hépatites B et C, principales causes de l'hépatite virale chronique, principalement par l'élimination des hépatocytes infectés. Cependant, les lymphocytes ne jouent pas seulement un rôle destructeur, ils contribuent également à induire la réplication locale des hépatocytes par la sécrétion de cytokines.</w:t>
      </w:r>
    </w:p>
    <w:p w14:paraId="61D44FB9" w14:textId="77777777" w:rsidR="00C0695C" w:rsidRDefault="00244FF7" w:rsidP="00206A07">
      <w:pPr>
        <w:ind w:firstLine="720"/>
        <w:jc w:val="both"/>
        <w:rPr>
          <w:rFonts w:ascii="Times New Roman" w:hAnsi="Times New Roman" w:cs="Times New Roman"/>
          <w:sz w:val="24"/>
          <w:szCs w:val="24"/>
        </w:rPr>
      </w:pPr>
      <w:r w:rsidRPr="00244FF7">
        <w:rPr>
          <w:rFonts w:ascii="Times New Roman" w:hAnsi="Times New Roman" w:cs="Times New Roman"/>
          <w:i/>
          <w:color w:val="000000"/>
          <w:sz w:val="24"/>
          <w:szCs w:val="24"/>
        </w:rPr>
        <w:t>Mécanismes de lésion hépatocytaire toxique</w:t>
      </w:r>
      <w:r>
        <w:rPr>
          <w:rFonts w:ascii="Times New Roman" w:hAnsi="Times New Roman" w:cs="Times New Roman"/>
          <w:i/>
          <w:color w:val="000000"/>
          <w:sz w:val="24"/>
          <w:szCs w:val="24"/>
        </w:rPr>
        <w:t xml:space="preserve">. </w:t>
      </w:r>
      <w:r w:rsidRPr="002A5E08">
        <w:rPr>
          <w:rFonts w:ascii="Times New Roman" w:hAnsi="Times New Roman" w:cs="Times New Roman"/>
          <w:sz w:val="24"/>
          <w:szCs w:val="24"/>
        </w:rPr>
        <w:t xml:space="preserve">Une lésion hépatique peut survenir à la suite de l'inhalation, de l'ingestion ou de l'administration parentérale d'un certain nombre d'agents pharmacologiques et chimiques. Il </w:t>
      </w:r>
      <w:r>
        <w:rPr>
          <w:rFonts w:ascii="Times New Roman" w:hAnsi="Times New Roman" w:cs="Times New Roman"/>
          <w:sz w:val="24"/>
          <w:szCs w:val="24"/>
        </w:rPr>
        <w:t xml:space="preserve">s'agit notamment </w:t>
      </w:r>
      <w:r w:rsidRPr="002A5E08">
        <w:rPr>
          <w:rFonts w:ascii="Times New Roman" w:hAnsi="Times New Roman" w:cs="Times New Roman"/>
          <w:sz w:val="24"/>
          <w:szCs w:val="24"/>
        </w:rPr>
        <w:t>des</w:t>
      </w:r>
      <w:r>
        <w:rPr>
          <w:rFonts w:ascii="Times New Roman" w:hAnsi="Times New Roman" w:cs="Times New Roman"/>
          <w:sz w:val="24"/>
          <w:szCs w:val="24"/>
        </w:rPr>
        <w:t xml:space="preserve"> toxines industrielles (</w:t>
      </w:r>
      <w:r w:rsidRPr="002A5E08">
        <w:rPr>
          <w:rFonts w:ascii="Times New Roman" w:hAnsi="Times New Roman" w:cs="Times New Roman"/>
          <w:sz w:val="24"/>
          <w:szCs w:val="24"/>
        </w:rPr>
        <w:t>tétrachlorure de carbone, trichloroéthylène et phosphore jaune) ; des octapeptides bicycliques toxiques thermostables de certaines espèces d'Amanita et de Galerina (intoxication hépatique par les champignons</w:t>
      </w:r>
      <w:r>
        <w:rPr>
          <w:rFonts w:ascii="Times New Roman" w:hAnsi="Times New Roman" w:cs="Times New Roman"/>
          <w:sz w:val="24"/>
          <w:szCs w:val="24"/>
        </w:rPr>
        <w:t>) ;</w:t>
      </w:r>
      <w:r w:rsidR="00C0695C">
        <w:rPr>
          <w:rFonts w:ascii="Times New Roman" w:hAnsi="Times New Roman" w:cs="Times New Roman"/>
          <w:sz w:val="24"/>
          <w:szCs w:val="24"/>
        </w:rPr>
        <w:t xml:space="preserve"> </w:t>
      </w:r>
      <w:r w:rsidRPr="00423C0F">
        <w:rPr>
          <w:rFonts w:ascii="Times New Roman" w:hAnsi="Times New Roman" w:cs="Times New Roman"/>
          <w:sz w:val="24"/>
          <w:szCs w:val="24"/>
        </w:rPr>
        <w:t xml:space="preserve">Les octapeptides hépatotoxiques d'Amanita phalloides provoquent généralement une nécrose hépatique massive ; la dose létale de la toxine est de 10 mg, soit la quantité contenue dans un seul </w:t>
      </w:r>
      <w:r>
        <w:rPr>
          <w:rFonts w:ascii="Times New Roman" w:hAnsi="Times New Roman" w:cs="Times New Roman"/>
          <w:sz w:val="24"/>
          <w:szCs w:val="24"/>
        </w:rPr>
        <w:t>champignon</w:t>
      </w:r>
      <w:r w:rsidR="00C0695C" w:rsidRPr="00423C0F">
        <w:rPr>
          <w:rFonts w:ascii="Times New Roman" w:hAnsi="Times New Roman" w:cs="Times New Roman"/>
          <w:sz w:val="24"/>
          <w:szCs w:val="24"/>
        </w:rPr>
        <w:t xml:space="preserve"> mortel </w:t>
      </w:r>
      <w:r w:rsidRPr="002A5E08">
        <w:rPr>
          <w:rFonts w:ascii="Times New Roman" w:hAnsi="Times New Roman" w:cs="Times New Roman"/>
          <w:sz w:val="24"/>
          <w:szCs w:val="24"/>
        </w:rPr>
        <w:t xml:space="preserve">; et, plus couramment, les agents pharmacologiques utilisés dans les traitements médicaux. </w:t>
      </w:r>
      <w:r w:rsidR="00C0695C" w:rsidRPr="002A5E08">
        <w:rPr>
          <w:rFonts w:ascii="Times New Roman" w:hAnsi="Times New Roman" w:cs="Times New Roman"/>
          <w:sz w:val="24"/>
          <w:szCs w:val="24"/>
        </w:rPr>
        <w:t xml:space="preserve">Les médicaments hépatotoxiques peuvent endommager </w:t>
      </w:r>
      <w:r w:rsidR="00C0695C">
        <w:rPr>
          <w:rFonts w:ascii="Times New Roman" w:hAnsi="Times New Roman" w:cs="Times New Roman"/>
          <w:sz w:val="24"/>
          <w:szCs w:val="24"/>
        </w:rPr>
        <w:t xml:space="preserve">directement </w:t>
      </w:r>
      <w:r w:rsidR="00C0695C" w:rsidRPr="002A5E08">
        <w:rPr>
          <w:rFonts w:ascii="Times New Roman" w:hAnsi="Times New Roman" w:cs="Times New Roman"/>
          <w:sz w:val="24"/>
          <w:szCs w:val="24"/>
        </w:rPr>
        <w:t xml:space="preserve">les </w:t>
      </w:r>
      <w:r w:rsidR="00C0695C">
        <w:rPr>
          <w:rFonts w:ascii="Times New Roman" w:hAnsi="Times New Roman" w:cs="Times New Roman"/>
          <w:sz w:val="24"/>
          <w:szCs w:val="24"/>
        </w:rPr>
        <w:t>hépatocytes (</w:t>
      </w:r>
      <w:r w:rsidR="00C0695C" w:rsidRPr="002A5E08">
        <w:rPr>
          <w:rFonts w:ascii="Times New Roman" w:hAnsi="Times New Roman" w:cs="Times New Roman"/>
          <w:sz w:val="24"/>
          <w:szCs w:val="24"/>
        </w:rPr>
        <w:t xml:space="preserve">via un radical libre ou un intermédiaire métabolique qui provoque la peroxydation des lipides membranaires et entraîne des lésions des cellules hépatiques). Alternativement, le médicament ou son métabolite peut déformer les membranes cellulaires ou d'autres molécules cellulaires, se lier de manière covalente aux protéines intracellulaires, activer les voies apoptotiques, interférer avec les protéines d'exportation des sels biliaires ou bloquer les voies biochimiques ou l'intégrité cellulaire </w:t>
      </w:r>
      <w:r w:rsidR="00B8266E">
        <w:rPr>
          <w:rFonts w:ascii="Times New Roman" w:hAnsi="Times New Roman" w:cs="Times New Roman"/>
          <w:sz w:val="24"/>
          <w:szCs w:val="24"/>
        </w:rPr>
        <w:t>(Fig. 1)</w:t>
      </w:r>
      <w:r w:rsidR="00C0695C" w:rsidRPr="002A5E08">
        <w:rPr>
          <w:rFonts w:ascii="Times New Roman" w:hAnsi="Times New Roman" w:cs="Times New Roman"/>
          <w:sz w:val="24"/>
          <w:szCs w:val="24"/>
        </w:rPr>
        <w:t xml:space="preserve">. </w:t>
      </w:r>
    </w:p>
    <w:p w14:paraId="29035B07" w14:textId="77777777" w:rsidR="00C0695C" w:rsidRDefault="00C0695C" w:rsidP="00C0695C">
      <w:pPr>
        <w:ind w:firstLine="708"/>
        <w:jc w:val="both"/>
        <w:rPr>
          <w:rFonts w:ascii="Times New Roman" w:hAnsi="Times New Roman" w:cs="Times New Roman"/>
          <w:sz w:val="24"/>
          <w:szCs w:val="24"/>
        </w:rPr>
      </w:pPr>
      <w:r w:rsidRPr="00CA7FD1">
        <w:rPr>
          <w:rFonts w:ascii="Times New Roman" w:hAnsi="Times New Roman" w:cs="Times New Roman"/>
          <w:sz w:val="24"/>
          <w:szCs w:val="24"/>
        </w:rPr>
        <w:t xml:space="preserve">La perturbation de </w:t>
      </w:r>
      <w:r>
        <w:rPr>
          <w:rFonts w:ascii="Times New Roman" w:hAnsi="Times New Roman" w:cs="Times New Roman"/>
          <w:sz w:val="24"/>
          <w:szCs w:val="24"/>
        </w:rPr>
        <w:t xml:space="preserve">l'homéostasie calcique intracellulaire </w:t>
      </w:r>
      <w:r w:rsidRPr="00CA7FD1">
        <w:rPr>
          <w:rFonts w:ascii="Times New Roman" w:hAnsi="Times New Roman" w:cs="Times New Roman"/>
          <w:sz w:val="24"/>
          <w:szCs w:val="24"/>
        </w:rPr>
        <w:t xml:space="preserve">entraîne le désassemblage des fibrilles d'actine à la surface de l'hépatocyte, ce qui provoque la formation de vésicules à la membrane cellulaire, sa rupture et la lyse cellulaire </w:t>
      </w:r>
      <w:r>
        <w:rPr>
          <w:rFonts w:ascii="Times New Roman" w:hAnsi="Times New Roman" w:cs="Times New Roman"/>
          <w:sz w:val="24"/>
          <w:szCs w:val="24"/>
        </w:rPr>
        <w:t xml:space="preserve">(Fig. 1, A). </w:t>
      </w:r>
      <w:r w:rsidRPr="00CA7FD1">
        <w:rPr>
          <w:rFonts w:ascii="Times New Roman" w:hAnsi="Times New Roman" w:cs="Times New Roman"/>
          <w:sz w:val="24"/>
          <w:szCs w:val="24"/>
        </w:rPr>
        <w:t>La perturbation des filaments d'actine à proximité du canalicule (la partie spécialisée de la cellule responsable de l'excrétion de la bile) entraîne la perte des processus villositaires et l'interruption des pompes de transport telles que la protéine 3 associée à la multirésistance aux médicaments (</w:t>
      </w:r>
      <w:r w:rsidRPr="00E1611F">
        <w:rPr>
          <w:rFonts w:ascii="Times New Roman" w:hAnsi="Times New Roman" w:cs="Times New Roman"/>
          <w:sz w:val="24"/>
          <w:szCs w:val="24"/>
        </w:rPr>
        <w:t>MRP3</w:t>
      </w:r>
      <w:r w:rsidRPr="00CA7FD1">
        <w:rPr>
          <w:rFonts w:ascii="Times New Roman" w:hAnsi="Times New Roman" w:cs="Times New Roman"/>
          <w:sz w:val="24"/>
          <w:szCs w:val="24"/>
        </w:rPr>
        <w:t xml:space="preserve">), ce qui empêche l'excrétion de </w:t>
      </w:r>
      <w:r>
        <w:rPr>
          <w:rFonts w:ascii="Times New Roman" w:hAnsi="Times New Roman" w:cs="Times New Roman"/>
          <w:sz w:val="24"/>
          <w:szCs w:val="24"/>
        </w:rPr>
        <w:t>la bilirubine et d'autres composés organiques.</w:t>
      </w:r>
      <w:r w:rsidRPr="00CA7FD1">
        <w:rPr>
          <w:rFonts w:ascii="Times New Roman" w:hAnsi="Times New Roman" w:cs="Times New Roman"/>
          <w:sz w:val="24"/>
          <w:szCs w:val="24"/>
        </w:rPr>
        <w:t xml:space="preserve"> </w:t>
      </w:r>
      <w:r w:rsidRPr="002A5E08">
        <w:rPr>
          <w:rFonts w:ascii="Times New Roman" w:hAnsi="Times New Roman" w:cs="Times New Roman"/>
          <w:sz w:val="24"/>
          <w:szCs w:val="24"/>
        </w:rPr>
        <w:t xml:space="preserve">L'interférence avec les pompes canaliculaires biliaires peut permettre l'accumulation d'acides biliaires endogènes, qui peuvent endommager le foie </w:t>
      </w:r>
      <w:r>
        <w:rPr>
          <w:rFonts w:ascii="Times New Roman" w:hAnsi="Times New Roman" w:cs="Times New Roman"/>
          <w:sz w:val="24"/>
          <w:szCs w:val="24"/>
        </w:rPr>
        <w:t>(Fig. 1 B)</w:t>
      </w:r>
      <w:r w:rsidRPr="002A5E08">
        <w:rPr>
          <w:rFonts w:ascii="Times New Roman" w:hAnsi="Times New Roman" w:cs="Times New Roman"/>
          <w:sz w:val="24"/>
          <w:szCs w:val="24"/>
        </w:rPr>
        <w:t xml:space="preserve">. Ces lésions peuvent à leur tour entraîner une nécrose des hépatocytes, endommager les voies biliaires, provoquant une cholestase, ou bloquer les voies de transport des lipides, inhiber la synthèse des protéines ou altérer l'oxydation mitochondriale des acides gras, entraînant une acidose lactique et une accumulation intracellulaire de triglycérides (exprimée histologiquement sous forme de stéatose microvésiculaire). </w:t>
      </w:r>
    </w:p>
    <w:p w14:paraId="00C7E7D3" w14:textId="77777777" w:rsidR="00C0695C" w:rsidRPr="002A5E08" w:rsidRDefault="00C0695C" w:rsidP="0073392F">
      <w:pPr>
        <w:ind w:firstLine="708"/>
        <w:jc w:val="both"/>
        <w:rPr>
          <w:rFonts w:ascii="Times New Roman" w:hAnsi="Times New Roman" w:cs="Times New Roman"/>
          <w:sz w:val="24"/>
          <w:szCs w:val="24"/>
        </w:rPr>
      </w:pPr>
      <w:r w:rsidRPr="002A5E08">
        <w:rPr>
          <w:rFonts w:ascii="Times New Roman" w:hAnsi="Times New Roman" w:cs="Times New Roman"/>
          <w:sz w:val="24"/>
          <w:szCs w:val="24"/>
        </w:rPr>
        <w:t xml:space="preserve">Dans certains cas, les métabolites des médicaments sensibilisent les hépatocytes aux cytokines toxiques, et les différences entre les personnes sensibles et non sensibles aux médicaments peuvent être attribuées à des polymorphismes dans l'élaboration de cytokines protectrices concurrentes, comme cela a été suggéré pour </w:t>
      </w:r>
      <w:r>
        <w:rPr>
          <w:rFonts w:ascii="Times New Roman" w:hAnsi="Times New Roman" w:cs="Times New Roman"/>
          <w:sz w:val="24"/>
          <w:szCs w:val="24"/>
        </w:rPr>
        <w:t>l'hépatotoxicité</w:t>
      </w:r>
      <w:r w:rsidRPr="002A5E08">
        <w:rPr>
          <w:rFonts w:ascii="Times New Roman" w:hAnsi="Times New Roman" w:cs="Times New Roman"/>
          <w:sz w:val="24"/>
          <w:szCs w:val="24"/>
        </w:rPr>
        <w:t xml:space="preserve"> de l'acétaminophène. </w:t>
      </w:r>
      <w:r w:rsidRPr="00CA7FD1">
        <w:rPr>
          <w:rFonts w:ascii="Times New Roman" w:hAnsi="Times New Roman" w:cs="Times New Roman"/>
          <w:sz w:val="24"/>
          <w:szCs w:val="24"/>
        </w:rPr>
        <w:t xml:space="preserve">La liaison covalente de l'enzyme cytochrome P-450 contenant de l'hème au médicament, </w:t>
      </w:r>
      <w:r w:rsidR="00C35757">
        <w:rPr>
          <w:rFonts w:ascii="Times New Roman" w:hAnsi="Times New Roman" w:cs="Times New Roman"/>
          <w:sz w:val="24"/>
          <w:szCs w:val="24"/>
        </w:rPr>
        <w:t>créant</w:t>
      </w:r>
      <w:r w:rsidRPr="00CA7FD1">
        <w:rPr>
          <w:rFonts w:ascii="Times New Roman" w:hAnsi="Times New Roman" w:cs="Times New Roman"/>
          <w:sz w:val="24"/>
          <w:szCs w:val="24"/>
        </w:rPr>
        <w:t xml:space="preserve"> ainsi </w:t>
      </w:r>
      <w:r w:rsidR="00C35757">
        <w:rPr>
          <w:rFonts w:ascii="Times New Roman" w:hAnsi="Times New Roman" w:cs="Times New Roman"/>
          <w:sz w:val="24"/>
          <w:szCs w:val="24"/>
        </w:rPr>
        <w:t xml:space="preserve">des adduits non fonctionnels. </w:t>
      </w:r>
      <w:r w:rsidRPr="00CA7FD1">
        <w:rPr>
          <w:rFonts w:ascii="Times New Roman" w:hAnsi="Times New Roman" w:cs="Times New Roman"/>
          <w:sz w:val="24"/>
          <w:szCs w:val="24"/>
        </w:rPr>
        <w:t xml:space="preserve">La migration de </w:t>
      </w:r>
      <w:r w:rsidR="008853C3">
        <w:rPr>
          <w:rFonts w:ascii="Times New Roman" w:hAnsi="Times New Roman" w:cs="Times New Roman"/>
          <w:sz w:val="24"/>
          <w:szCs w:val="24"/>
        </w:rPr>
        <w:t xml:space="preserve">ces </w:t>
      </w:r>
      <w:r w:rsidRPr="00CA7FD1">
        <w:rPr>
          <w:rFonts w:ascii="Times New Roman" w:hAnsi="Times New Roman" w:cs="Times New Roman"/>
          <w:sz w:val="24"/>
          <w:szCs w:val="24"/>
        </w:rPr>
        <w:t xml:space="preserve">adduits </w:t>
      </w:r>
      <w:r w:rsidR="008853C3">
        <w:rPr>
          <w:rFonts w:ascii="Times New Roman" w:hAnsi="Times New Roman" w:cs="Times New Roman"/>
          <w:sz w:val="24"/>
          <w:szCs w:val="24"/>
        </w:rPr>
        <w:t xml:space="preserve">enzyme-médicament </w:t>
      </w:r>
      <w:r w:rsidRPr="00CA7FD1">
        <w:rPr>
          <w:rFonts w:ascii="Times New Roman" w:hAnsi="Times New Roman" w:cs="Times New Roman"/>
          <w:sz w:val="24"/>
          <w:szCs w:val="24"/>
        </w:rPr>
        <w:t xml:space="preserve">vers la surface cellulaire dans des vésicules pour servir d'immunogènes cibles pour l'attaque cytolytique par les cellules T, stimulant une réponse immunitaire impliquant les cellules T cytolytiques et les cytokines </w:t>
      </w:r>
      <w:r w:rsidR="0073392F">
        <w:rPr>
          <w:rFonts w:ascii="Times New Roman" w:hAnsi="Times New Roman" w:cs="Times New Roman"/>
          <w:sz w:val="24"/>
          <w:szCs w:val="24"/>
        </w:rPr>
        <w:t xml:space="preserve">(Fig. 1, C et D). </w:t>
      </w:r>
    </w:p>
    <w:p w14:paraId="101539AF" w14:textId="77777777" w:rsidR="0073392F" w:rsidRDefault="0073392F" w:rsidP="0073392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853C3">
        <w:rPr>
          <w:rFonts w:ascii="Times New Roman" w:hAnsi="Times New Roman" w:cs="Times New Roman"/>
          <w:sz w:val="24"/>
          <w:szCs w:val="24"/>
        </w:rPr>
        <w:t xml:space="preserve">D'autres mécanismes de lésion sont </w:t>
      </w:r>
      <w:r w:rsidRPr="00CA7FD1">
        <w:rPr>
          <w:rFonts w:ascii="Times New Roman" w:hAnsi="Times New Roman" w:cs="Times New Roman"/>
          <w:sz w:val="24"/>
          <w:szCs w:val="24"/>
        </w:rPr>
        <w:t xml:space="preserve">l'activation des voies apoptotiques </w:t>
      </w:r>
      <w:r>
        <w:rPr>
          <w:rFonts w:ascii="Times New Roman" w:hAnsi="Times New Roman" w:cs="Times New Roman"/>
          <w:sz w:val="24"/>
          <w:szCs w:val="24"/>
        </w:rPr>
        <w:t xml:space="preserve">par </w:t>
      </w:r>
      <w:r w:rsidRPr="00CA7FD1">
        <w:rPr>
          <w:rFonts w:ascii="Times New Roman" w:hAnsi="Times New Roman" w:cs="Times New Roman"/>
          <w:sz w:val="24"/>
          <w:szCs w:val="24"/>
        </w:rPr>
        <w:t xml:space="preserve">le récepteur </w:t>
      </w:r>
      <w:r>
        <w:rPr>
          <w:rFonts w:ascii="Times New Roman" w:hAnsi="Times New Roman" w:cs="Times New Roman"/>
          <w:sz w:val="24"/>
          <w:szCs w:val="24"/>
        </w:rPr>
        <w:t>du facteur de nécrose tumorale (</w:t>
      </w:r>
      <w:r w:rsidR="00517080">
        <w:rPr>
          <w:rFonts w:ascii="Times New Roman" w:hAnsi="Times New Roman" w:cs="Times New Roman"/>
          <w:sz w:val="24"/>
          <w:szCs w:val="24"/>
        </w:rPr>
        <w:t>TNF-α</w:t>
      </w:r>
      <w:r w:rsidRPr="00CA7FD1">
        <w:rPr>
          <w:rFonts w:ascii="Times New Roman" w:hAnsi="Times New Roman" w:cs="Times New Roman"/>
          <w:sz w:val="24"/>
          <w:szCs w:val="24"/>
        </w:rPr>
        <w:t xml:space="preserve">) ou Fas (DD désigne le domaine de mort), déclenchant la cascade des caspases intercellulaires, entraînant la mort cellulaire programmée </w:t>
      </w:r>
      <w:r w:rsidR="00517080">
        <w:rPr>
          <w:rFonts w:ascii="Times New Roman" w:hAnsi="Times New Roman" w:cs="Times New Roman"/>
          <w:sz w:val="24"/>
          <w:szCs w:val="24"/>
        </w:rPr>
        <w:t xml:space="preserve">(Fig. 1 E) </w:t>
      </w:r>
      <w:r w:rsidRPr="00CA7FD1">
        <w:rPr>
          <w:rFonts w:ascii="Times New Roman" w:hAnsi="Times New Roman" w:cs="Times New Roman"/>
          <w:sz w:val="24"/>
          <w:szCs w:val="24"/>
        </w:rPr>
        <w:t xml:space="preserve">; ou l'inhibition de </w:t>
      </w:r>
      <w:r w:rsidR="00517080">
        <w:rPr>
          <w:rFonts w:ascii="Times New Roman" w:hAnsi="Times New Roman" w:cs="Times New Roman"/>
          <w:sz w:val="24"/>
          <w:szCs w:val="24"/>
        </w:rPr>
        <w:t>la fonction</w:t>
      </w:r>
      <w:r w:rsidRPr="00CA7FD1">
        <w:rPr>
          <w:rFonts w:ascii="Times New Roman" w:hAnsi="Times New Roman" w:cs="Times New Roman"/>
          <w:sz w:val="24"/>
          <w:szCs w:val="24"/>
        </w:rPr>
        <w:t xml:space="preserve"> mitochondriale </w:t>
      </w:r>
      <w:r w:rsidR="00517080">
        <w:rPr>
          <w:rFonts w:ascii="Times New Roman" w:hAnsi="Times New Roman" w:cs="Times New Roman"/>
          <w:sz w:val="24"/>
          <w:szCs w:val="24"/>
        </w:rPr>
        <w:t xml:space="preserve">par un double effet sur </w:t>
      </w:r>
      <w:r w:rsidRPr="00CA7FD1">
        <w:rPr>
          <w:rFonts w:ascii="Times New Roman" w:hAnsi="Times New Roman" w:cs="Times New Roman"/>
          <w:sz w:val="24"/>
          <w:szCs w:val="24"/>
        </w:rPr>
        <w:t xml:space="preserve">l'oxydation et les enzymes de la chaîne respiratoire, entraînant une défaillance du métabolisme des acides gras libres, un manque de respiration aérobie et une accumulation de lactate et d'espèces réactives de l'oxygène (qui peuvent perturber l'ADN mitochondrial) </w:t>
      </w:r>
      <w:r w:rsidR="004E687B">
        <w:rPr>
          <w:rFonts w:ascii="Times New Roman" w:hAnsi="Times New Roman" w:cs="Times New Roman"/>
          <w:sz w:val="24"/>
          <w:szCs w:val="24"/>
        </w:rPr>
        <w:t>(Fig. 1 F</w:t>
      </w:r>
      <w:r w:rsidR="00517080">
        <w:rPr>
          <w:rFonts w:ascii="Times New Roman" w:hAnsi="Times New Roman" w:cs="Times New Roman"/>
          <w:sz w:val="24"/>
          <w:szCs w:val="24"/>
        </w:rPr>
        <w:t>)</w:t>
      </w:r>
      <w:r w:rsidRPr="00CA7FD1">
        <w:rPr>
          <w:rFonts w:ascii="Times New Roman" w:hAnsi="Times New Roman" w:cs="Times New Roman"/>
          <w:sz w:val="24"/>
          <w:szCs w:val="24"/>
        </w:rPr>
        <w:t xml:space="preserve">. </w:t>
      </w:r>
      <w:r w:rsidR="00517080">
        <w:rPr>
          <w:rFonts w:ascii="Times New Roman" w:hAnsi="Times New Roman" w:cs="Times New Roman"/>
          <w:sz w:val="24"/>
          <w:szCs w:val="24"/>
        </w:rPr>
        <w:t xml:space="preserve">De plus, </w:t>
      </w:r>
      <w:r w:rsidRPr="00CA7FD1">
        <w:rPr>
          <w:rFonts w:ascii="Times New Roman" w:hAnsi="Times New Roman" w:cs="Times New Roman"/>
          <w:sz w:val="24"/>
          <w:szCs w:val="24"/>
        </w:rPr>
        <w:t>les métabolites toxiques excrétés dans la bile peuvent endommager l'épithélium des voies biliaires</w:t>
      </w:r>
      <w:r w:rsidR="004E687B">
        <w:rPr>
          <w:rFonts w:ascii="Times New Roman" w:hAnsi="Times New Roman" w:cs="Times New Roman"/>
          <w:sz w:val="24"/>
          <w:szCs w:val="24"/>
        </w:rPr>
        <w:t>.</w:t>
      </w:r>
    </w:p>
    <w:p w14:paraId="1952B29D" w14:textId="77777777" w:rsidR="00C0695C" w:rsidRDefault="00C0695C" w:rsidP="00244FF7">
      <w:pPr>
        <w:ind w:firstLine="720"/>
        <w:jc w:val="both"/>
        <w:rPr>
          <w:rFonts w:ascii="Times New Roman" w:hAnsi="Times New Roman" w:cs="Times New Roman"/>
          <w:sz w:val="24"/>
          <w:szCs w:val="24"/>
        </w:rPr>
      </w:pPr>
    </w:p>
    <w:p w14:paraId="149AED51" w14:textId="77777777" w:rsidR="00C0695C" w:rsidRPr="00244FF7" w:rsidRDefault="00C0695C" w:rsidP="00244FF7">
      <w:pPr>
        <w:ind w:firstLine="720"/>
        <w:jc w:val="both"/>
        <w:rPr>
          <w:rFonts w:ascii="Times New Roman" w:hAnsi="Times New Roman" w:cs="Times New Roman"/>
          <w:i/>
          <w:color w:val="000000"/>
          <w:sz w:val="24"/>
          <w:szCs w:val="24"/>
        </w:rPr>
      </w:pPr>
    </w:p>
    <w:p w14:paraId="168F0812" w14:textId="77777777" w:rsidR="00244FF7" w:rsidRDefault="00244FF7" w:rsidP="00244FF7">
      <w:pPr>
        <w:ind w:firstLine="720"/>
        <w:jc w:val="center"/>
        <w:rPr>
          <w:rFonts w:ascii="Times New Roman" w:hAnsi="Times New Roman" w:cs="Times New Roman"/>
          <w:i/>
          <w:color w:val="000000"/>
          <w:sz w:val="24"/>
          <w:szCs w:val="24"/>
        </w:rPr>
      </w:pPr>
      <w:r w:rsidRPr="00244FF7">
        <w:rPr>
          <w:rFonts w:ascii="Times New Roman" w:hAnsi="Times New Roman" w:cs="Times New Roman"/>
          <w:i/>
          <w:noProof/>
          <w:color w:val="000000"/>
          <w:sz w:val="24"/>
          <w:szCs w:val="24"/>
          <w:lang w:val="en-GB" w:eastAsia="en-GB"/>
        </w:rPr>
        <w:drawing>
          <wp:inline distT="0" distB="0" distL="0" distR="0" wp14:anchorId="319E2218" wp14:editId="1A8EBC9A">
            <wp:extent cx="5589878" cy="4630223"/>
            <wp:effectExtent l="19050" t="19050" r="10822" b="17977"/>
            <wp:docPr id="10" name="Рисунок 1" descr="C:\Users\Iuliana\Desktop\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a\Desktop\Li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004" cy="4629499"/>
                    </a:xfrm>
                    <a:prstGeom prst="rect">
                      <a:avLst/>
                    </a:prstGeom>
                    <a:noFill/>
                    <a:ln>
                      <a:solidFill>
                        <a:schemeClr val="tx1"/>
                      </a:solidFill>
                    </a:ln>
                  </pic:spPr>
                </pic:pic>
              </a:graphicData>
            </a:graphic>
          </wp:inline>
        </w:drawing>
      </w:r>
    </w:p>
    <w:p w14:paraId="083548E3" w14:textId="77777777" w:rsidR="00244FF7" w:rsidRDefault="00244FF7" w:rsidP="00244FF7">
      <w:pPr>
        <w:spacing w:line="240" w:lineRule="auto"/>
        <w:jc w:val="center"/>
        <w:rPr>
          <w:rFonts w:ascii="Times New Roman" w:hAnsi="Times New Roman" w:cs="Times New Roman"/>
          <w:b/>
          <w:sz w:val="24"/>
          <w:szCs w:val="24"/>
        </w:rPr>
      </w:pPr>
      <w:r w:rsidRPr="00BE6434">
        <w:rPr>
          <w:rFonts w:ascii="Times New Roman" w:hAnsi="Times New Roman" w:cs="Times New Roman"/>
          <w:b/>
          <w:sz w:val="24"/>
          <w:szCs w:val="24"/>
        </w:rPr>
        <w:t>Fig.</w:t>
      </w:r>
      <w:r w:rsidR="008853C3">
        <w:rPr>
          <w:rFonts w:ascii="Times New Roman" w:hAnsi="Times New Roman" w:cs="Times New Roman"/>
          <w:b/>
          <w:sz w:val="24"/>
          <w:szCs w:val="24"/>
        </w:rPr>
        <w:t xml:space="preserve"> 1 </w:t>
      </w:r>
      <w:r w:rsidRPr="00BE6434">
        <w:rPr>
          <w:rFonts w:ascii="Times New Roman" w:hAnsi="Times New Roman" w:cs="Times New Roman"/>
          <w:b/>
          <w:sz w:val="24"/>
          <w:szCs w:val="24"/>
        </w:rPr>
        <w:t xml:space="preserve">Mécanismes potentiels des </w:t>
      </w:r>
      <w:r>
        <w:rPr>
          <w:rFonts w:ascii="Times New Roman" w:hAnsi="Times New Roman" w:cs="Times New Roman"/>
          <w:b/>
          <w:sz w:val="24"/>
          <w:szCs w:val="24"/>
        </w:rPr>
        <w:t xml:space="preserve">lésions hépatiques </w:t>
      </w:r>
      <w:r w:rsidRPr="00BE6434">
        <w:rPr>
          <w:rFonts w:ascii="Times New Roman" w:hAnsi="Times New Roman" w:cs="Times New Roman"/>
          <w:b/>
          <w:sz w:val="24"/>
          <w:szCs w:val="24"/>
        </w:rPr>
        <w:t>d'origine médicamenteuse</w:t>
      </w:r>
    </w:p>
    <w:p w14:paraId="7F39D9FB" w14:textId="77777777" w:rsidR="00244FF7" w:rsidRPr="008853C3" w:rsidRDefault="00244FF7" w:rsidP="008853C3">
      <w:pPr>
        <w:spacing w:line="240" w:lineRule="auto"/>
        <w:jc w:val="center"/>
        <w:rPr>
          <w:rFonts w:ascii="Times New Roman" w:hAnsi="Times New Roman" w:cs="Times New Roman"/>
          <w:sz w:val="24"/>
          <w:szCs w:val="24"/>
        </w:rPr>
      </w:pPr>
      <w:r w:rsidRPr="00244FF7">
        <w:rPr>
          <w:rFonts w:ascii="Times New Roman" w:hAnsi="Times New Roman" w:cs="Times New Roman"/>
          <w:sz w:val="24"/>
          <w:szCs w:val="24"/>
        </w:rPr>
        <w:t xml:space="preserve">(Extrait de Harrison's </w:t>
      </w:r>
      <w:r w:rsidR="008853C3">
        <w:rPr>
          <w:rFonts w:ascii="Times New Roman" w:hAnsi="Times New Roman" w:cs="Times New Roman"/>
          <w:sz w:val="24"/>
          <w:szCs w:val="24"/>
        </w:rPr>
        <w:t xml:space="preserve">Principles </w:t>
      </w:r>
      <w:r w:rsidRPr="00244FF7">
        <w:rPr>
          <w:rFonts w:ascii="Times New Roman" w:hAnsi="Times New Roman" w:cs="Times New Roman"/>
          <w:sz w:val="24"/>
          <w:szCs w:val="24"/>
        </w:rPr>
        <w:t>of Internal Medicine, 18e édition)</w:t>
      </w:r>
    </w:p>
    <w:p w14:paraId="696C6C80" w14:textId="77777777" w:rsidR="00EC782C" w:rsidRDefault="00172D5C" w:rsidP="00172D5C">
      <w:pPr>
        <w:jc w:val="both"/>
        <w:rPr>
          <w:rFonts w:ascii="Times New Roman" w:hAnsi="Times New Roman" w:cs="Times New Roman"/>
          <w:sz w:val="24"/>
          <w:szCs w:val="24"/>
        </w:rPr>
      </w:pPr>
      <w:r w:rsidRPr="00172D5C">
        <w:rPr>
          <w:rFonts w:ascii="Times New Roman" w:hAnsi="Times New Roman" w:cs="Times New Roman"/>
          <w:i/>
          <w:sz w:val="24"/>
          <w:szCs w:val="24"/>
        </w:rPr>
        <w:t xml:space="preserve"> </w:t>
      </w:r>
      <w:r>
        <w:rPr>
          <w:rFonts w:ascii="Times New Roman" w:hAnsi="Times New Roman" w:cs="Times New Roman"/>
          <w:i/>
          <w:sz w:val="24"/>
          <w:szCs w:val="24"/>
        </w:rPr>
        <w:tab/>
      </w:r>
      <w:r w:rsidRPr="00172D5C">
        <w:rPr>
          <w:rFonts w:ascii="Times New Roman" w:hAnsi="Times New Roman" w:cs="Times New Roman"/>
          <w:i/>
          <w:sz w:val="24"/>
          <w:szCs w:val="24"/>
        </w:rPr>
        <w:t xml:space="preserve">Mécanismes des </w:t>
      </w:r>
      <w:r>
        <w:rPr>
          <w:rFonts w:ascii="Times New Roman" w:hAnsi="Times New Roman" w:cs="Times New Roman"/>
          <w:i/>
          <w:sz w:val="24"/>
          <w:szCs w:val="24"/>
        </w:rPr>
        <w:t xml:space="preserve">lésions </w:t>
      </w:r>
      <w:r w:rsidRPr="00172D5C">
        <w:rPr>
          <w:rFonts w:ascii="Times New Roman" w:hAnsi="Times New Roman" w:cs="Times New Roman"/>
          <w:i/>
          <w:sz w:val="24"/>
          <w:szCs w:val="24"/>
        </w:rPr>
        <w:t xml:space="preserve">hépatocytaires </w:t>
      </w:r>
      <w:r>
        <w:rPr>
          <w:rFonts w:ascii="Times New Roman" w:hAnsi="Times New Roman" w:cs="Times New Roman"/>
          <w:i/>
          <w:sz w:val="24"/>
          <w:szCs w:val="24"/>
        </w:rPr>
        <w:t xml:space="preserve">induites par l'alcool. </w:t>
      </w:r>
      <w:r w:rsidRPr="00423C0F">
        <w:rPr>
          <w:rFonts w:ascii="Times New Roman" w:hAnsi="Times New Roman" w:cs="Times New Roman"/>
          <w:sz w:val="24"/>
          <w:szCs w:val="24"/>
        </w:rPr>
        <w:t xml:space="preserve"> Le seuil de développement d'une maladie hépatique alcoolique chez les hommes est une consommation supérieure à 60-80 g/jour d'alcool pendant 10 ans, tandis que les femmes courent un risque accru de développer des lésions hépatiques similaires en consommant 20-40 g/jour. La consommation de 160 g/jour est associée à un risque 25 fois plus élevé de développer une cirrhose alcoolique.</w:t>
      </w:r>
      <w:r>
        <w:rPr>
          <w:rFonts w:ascii="Times New Roman" w:hAnsi="Times New Roman" w:cs="Times New Roman"/>
          <w:sz w:val="24"/>
          <w:szCs w:val="24"/>
        </w:rPr>
        <w:t xml:space="preserve"> </w:t>
      </w:r>
      <w:r w:rsidRPr="00172D5C">
        <w:rPr>
          <w:rFonts w:ascii="Times New Roman" w:hAnsi="Times New Roman" w:cs="Times New Roman"/>
          <w:sz w:val="24"/>
          <w:szCs w:val="24"/>
        </w:rPr>
        <w:t xml:space="preserve">L'éthanol est principalement absorbé par l'intestin grêle et, dans une moindre mesure, par l'estomac. </w:t>
      </w:r>
      <w:r w:rsidRPr="00172D5C">
        <w:rPr>
          <w:rFonts w:ascii="Times New Roman" w:hAnsi="Times New Roman" w:cs="Times New Roman"/>
          <w:i/>
          <w:sz w:val="24"/>
          <w:szCs w:val="24"/>
        </w:rPr>
        <w:t xml:space="preserve">L'alcool déshydrogénase </w:t>
      </w:r>
      <w:r w:rsidRPr="00172D5C">
        <w:rPr>
          <w:rFonts w:ascii="Times New Roman" w:hAnsi="Times New Roman" w:cs="Times New Roman"/>
          <w:sz w:val="24"/>
          <w:szCs w:val="24"/>
        </w:rPr>
        <w:t xml:space="preserve">gastrique </w:t>
      </w:r>
      <w:r w:rsidRPr="00172D5C">
        <w:rPr>
          <w:rFonts w:ascii="Times New Roman" w:hAnsi="Times New Roman" w:cs="Times New Roman"/>
          <w:i/>
          <w:sz w:val="24"/>
          <w:szCs w:val="24"/>
        </w:rPr>
        <w:t xml:space="preserve">(ADH) </w:t>
      </w:r>
      <w:r w:rsidRPr="00172D5C">
        <w:rPr>
          <w:rFonts w:ascii="Times New Roman" w:hAnsi="Times New Roman" w:cs="Times New Roman"/>
          <w:sz w:val="24"/>
          <w:szCs w:val="24"/>
        </w:rPr>
        <w:t xml:space="preserve">initie le métabolisme de l'alcool. Trois systèmes enzymatiques sont responsables du métabolisme de l'alcool dans le foie. Il s'agit de l'ADH cytosolique, du système microsomal d'oxydation de l'éthanol (MEOS) et de la catalase peroxysomale. La majeure partie de l'oxydation de l'éthanol se fait par l'ADH pour former </w:t>
      </w:r>
      <w:r w:rsidRPr="00172D5C">
        <w:rPr>
          <w:rFonts w:ascii="Times New Roman" w:hAnsi="Times New Roman" w:cs="Times New Roman"/>
          <w:i/>
          <w:sz w:val="24"/>
          <w:szCs w:val="24"/>
        </w:rPr>
        <w:t>de l'acétaldéhyde</w:t>
      </w:r>
      <w:r w:rsidRPr="00172D5C">
        <w:rPr>
          <w:rFonts w:ascii="Times New Roman" w:hAnsi="Times New Roman" w:cs="Times New Roman"/>
          <w:sz w:val="24"/>
          <w:szCs w:val="24"/>
        </w:rPr>
        <w:t xml:space="preserve">, une molécule hautement réactive qui peut avoir de multiples effets. Finalement, l'acétaldéhyde est métabolisé en acétate par l'aldéhyde déshydrogénase (ALDH). </w:t>
      </w:r>
    </w:p>
    <w:p w14:paraId="7F8B6BE6" w14:textId="77777777" w:rsidR="00172D5C" w:rsidRPr="008853C3" w:rsidRDefault="00EC782C" w:rsidP="008853C3">
      <w:pPr>
        <w:spacing w:before="100" w:beforeAutospacing="1" w:after="100" w:afterAutospacing="1"/>
        <w:ind w:firstLine="720"/>
        <w:jc w:val="both"/>
        <w:rPr>
          <w:rFonts w:ascii="Times New Roman" w:eastAsia="Times New Roman" w:hAnsi="Times New Roman" w:cs="Times New Roman"/>
          <w:sz w:val="24"/>
          <w:szCs w:val="24"/>
          <w:lang w:eastAsia="ru-RU"/>
        </w:rPr>
      </w:pPr>
      <w:r w:rsidRPr="00F10CF1">
        <w:rPr>
          <w:rFonts w:ascii="Times New Roman" w:eastAsia="Times New Roman" w:hAnsi="Times New Roman" w:cs="Times New Roman"/>
          <w:sz w:val="24"/>
          <w:szCs w:val="24"/>
          <w:lang w:eastAsia="ru-RU"/>
        </w:rPr>
        <w:t xml:space="preserve">Notre compréhension de la pathogenèse des </w:t>
      </w:r>
      <w:r w:rsidRPr="00EC782C">
        <w:rPr>
          <w:rFonts w:ascii="Times New Roman" w:eastAsia="Times New Roman" w:hAnsi="Times New Roman" w:cs="Times New Roman"/>
          <w:sz w:val="24"/>
          <w:szCs w:val="24"/>
          <w:lang w:eastAsia="ru-RU"/>
        </w:rPr>
        <w:t>lésions hépatiques alcooliques est incomplète</w:t>
      </w:r>
      <w:r w:rsidRPr="00F10CF1">
        <w:rPr>
          <w:rFonts w:ascii="Times New Roman" w:eastAsia="Times New Roman" w:hAnsi="Times New Roman" w:cs="Times New Roman"/>
          <w:sz w:val="24"/>
          <w:szCs w:val="24"/>
          <w:lang w:eastAsia="ru-RU"/>
        </w:rPr>
        <w:t xml:space="preserve">. L'alcool est une hépatotoxine directe, mais son ingestion déclenche diverses réponses métaboliques qui influencent la réponse hépatotoxique finale. </w:t>
      </w:r>
      <w:r w:rsidR="00172D5C" w:rsidRPr="00172D5C">
        <w:rPr>
          <w:rFonts w:ascii="Times New Roman" w:hAnsi="Times New Roman" w:cs="Times New Roman"/>
          <w:sz w:val="24"/>
          <w:szCs w:val="24"/>
        </w:rPr>
        <w:t xml:space="preserve">La consommation d'éthanol augmente l'accumulation intracellulaire de triglycérides en augmentant l'absorption des acides gras et en réduisant leur oxydation et la sécrétion de lipoprotéines. La synthèse, la glycosylation et la sécrétion des protéines sont altérées. Les membranes des hépatocytes de l' e subissent des dommages oxydatifs dus à la formation d'espèces réactives de l'oxygène ; l'acétaldéhyde est une molécule hautement réactive qui se combine avec les protéines pour former </w:t>
      </w:r>
      <w:r w:rsidR="00172D5C" w:rsidRPr="00244FF7">
        <w:rPr>
          <w:rFonts w:ascii="Times New Roman" w:hAnsi="Times New Roman" w:cs="Times New Roman"/>
          <w:i/>
          <w:sz w:val="24"/>
          <w:szCs w:val="24"/>
        </w:rPr>
        <w:t>des adduits protéine-acétaldéhyde</w:t>
      </w:r>
      <w:r w:rsidR="00172D5C" w:rsidRPr="00172D5C">
        <w:rPr>
          <w:rFonts w:ascii="Times New Roman" w:hAnsi="Times New Roman" w:cs="Times New Roman"/>
          <w:sz w:val="24"/>
          <w:szCs w:val="24"/>
        </w:rPr>
        <w:t xml:space="preserve">. Ces adduits peuvent interférer avec certaines activités enzymatiques spécifiques, notamment la formation de microtubules et le trafic des protéines hépatiques. Avec les dommages hépatocytaires médiés par l'acétaldéhyde, certaines espèces réactives de l'oxygène peuvent entraîner l'activation des cellules de Kupffer. Il en résulte la production de cytokines profibrogéniques qui déclenchent et perpétuent l'activation des cellules stellaires, entraînant une production excessive de collagène et de matrice extracellulaire. </w:t>
      </w:r>
      <w:r w:rsidRPr="00EC782C">
        <w:rPr>
          <w:rFonts w:ascii="Times New Roman" w:eastAsia="Times New Roman" w:hAnsi="Times New Roman" w:cs="Times New Roman"/>
          <w:sz w:val="24"/>
          <w:szCs w:val="24"/>
          <w:lang w:eastAsia="ru-RU"/>
        </w:rPr>
        <w:t xml:space="preserve">Les endotoxines, le stress oxydatif, l'activité immunologique et la libération de cytokines pro-inflammatoires contribuent à la lésion hépatique qui en résulte. L'interaction complexe entre les cellules intestinales et hépatiques est cruciale dans la lésion hépatique médiée par l'alcool. Le facteur de nécrose tumorale α (TNF-α) et l'endotoxémie d'origine intestinale facilitent l'apoptose et la nécrose des hépatocytes. L'activation des cellules stellaires et la production de collagène sont des événements clés dans la fibrogénèse hépatique. La fibrose qui en résulte détermine la perturbation architecturale du foie après une consommation chronique d'alcool </w:t>
      </w:r>
      <w:r w:rsidR="00244FF7">
        <w:rPr>
          <w:rFonts w:ascii="Times New Roman" w:eastAsia="Times New Roman" w:hAnsi="Times New Roman" w:cs="Times New Roman"/>
          <w:sz w:val="24"/>
          <w:szCs w:val="24"/>
          <w:lang w:eastAsia="ru-RU"/>
        </w:rPr>
        <w:t>(Fig.</w:t>
      </w:r>
      <w:r w:rsidR="008853C3">
        <w:rPr>
          <w:rFonts w:ascii="Times New Roman" w:eastAsia="Times New Roman" w:hAnsi="Times New Roman" w:cs="Times New Roman"/>
          <w:sz w:val="24"/>
          <w:szCs w:val="24"/>
          <w:lang w:eastAsia="ru-RU"/>
        </w:rPr>
        <w:t xml:space="preserve"> 2</w:t>
      </w:r>
      <w:r w:rsidR="00244FF7">
        <w:rPr>
          <w:rFonts w:ascii="Times New Roman" w:eastAsia="Times New Roman" w:hAnsi="Times New Roman" w:cs="Times New Roman"/>
          <w:sz w:val="24"/>
          <w:szCs w:val="24"/>
          <w:lang w:eastAsia="ru-RU"/>
        </w:rPr>
        <w:t>)</w:t>
      </w:r>
      <w:r w:rsidRPr="00EC782C">
        <w:rPr>
          <w:rFonts w:ascii="Times New Roman" w:eastAsia="Times New Roman" w:hAnsi="Times New Roman" w:cs="Times New Roman"/>
          <w:sz w:val="24"/>
          <w:szCs w:val="24"/>
          <w:lang w:eastAsia="ru-RU"/>
        </w:rPr>
        <w:t>.</w:t>
      </w:r>
    </w:p>
    <w:p w14:paraId="22B74AFF" w14:textId="77777777" w:rsidR="00172D5C" w:rsidRDefault="00172D5C" w:rsidP="00172D5C">
      <w:pPr>
        <w:jc w:val="center"/>
        <w:rPr>
          <w:rFonts w:ascii="Times New Roman" w:hAnsi="Times New Roman" w:cs="Times New Roman"/>
          <w:sz w:val="24"/>
          <w:szCs w:val="24"/>
        </w:rPr>
      </w:pPr>
      <w:r w:rsidRPr="00172D5C">
        <w:rPr>
          <w:rFonts w:ascii="Times New Roman" w:hAnsi="Times New Roman" w:cs="Times New Roman"/>
          <w:noProof/>
          <w:sz w:val="24"/>
          <w:szCs w:val="24"/>
          <w:lang w:val="en-GB" w:eastAsia="en-GB"/>
        </w:rPr>
        <w:drawing>
          <wp:inline distT="0" distB="0" distL="0" distR="0" wp14:anchorId="70E6172A" wp14:editId="4613A171">
            <wp:extent cx="4733925" cy="4086225"/>
            <wp:effectExtent l="19050" t="19050" r="28575" b="28575"/>
            <wp:docPr id="8" name="Рисунок 2" descr="C:\Users\Iuliana\Desktop\a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aco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1397" cy="4084043"/>
                    </a:xfrm>
                    <a:prstGeom prst="rect">
                      <a:avLst/>
                    </a:prstGeom>
                    <a:noFill/>
                    <a:ln>
                      <a:solidFill>
                        <a:schemeClr val="tx1"/>
                      </a:solidFill>
                    </a:ln>
                  </pic:spPr>
                </pic:pic>
              </a:graphicData>
            </a:graphic>
          </wp:inline>
        </w:drawing>
      </w:r>
    </w:p>
    <w:p w14:paraId="6CC4D69A" w14:textId="77777777" w:rsidR="00E1611F" w:rsidRDefault="00172D5C" w:rsidP="008853C3">
      <w:pPr>
        <w:spacing w:line="240" w:lineRule="auto"/>
        <w:jc w:val="center"/>
        <w:rPr>
          <w:rFonts w:ascii="Times New Roman" w:hAnsi="Times New Roman" w:cs="Times New Roman"/>
          <w:b/>
          <w:sz w:val="24"/>
          <w:szCs w:val="24"/>
        </w:rPr>
      </w:pPr>
      <w:r w:rsidRPr="00172D5C">
        <w:rPr>
          <w:rFonts w:ascii="Times New Roman" w:hAnsi="Times New Roman" w:cs="Times New Roman"/>
          <w:b/>
          <w:sz w:val="24"/>
          <w:szCs w:val="24"/>
        </w:rPr>
        <w:t>Fig.</w:t>
      </w:r>
      <w:r w:rsidR="008853C3">
        <w:rPr>
          <w:rFonts w:ascii="Times New Roman" w:hAnsi="Times New Roman" w:cs="Times New Roman"/>
          <w:b/>
          <w:sz w:val="24"/>
          <w:szCs w:val="24"/>
        </w:rPr>
        <w:t xml:space="preserve"> 2 </w:t>
      </w:r>
      <w:r w:rsidRPr="00172D5C">
        <w:rPr>
          <w:rFonts w:ascii="Times New Roman" w:hAnsi="Times New Roman" w:cs="Times New Roman"/>
          <w:b/>
          <w:sz w:val="24"/>
          <w:szCs w:val="24"/>
        </w:rPr>
        <w:t xml:space="preserve">Pathogenèse biomédicale et cellulaire des lésions hépatiques </w:t>
      </w:r>
    </w:p>
    <w:p w14:paraId="5669B41A" w14:textId="77777777" w:rsidR="00172D5C" w:rsidRPr="00172D5C" w:rsidRDefault="00172D5C" w:rsidP="00E1611F">
      <w:pPr>
        <w:spacing w:line="240" w:lineRule="auto"/>
        <w:jc w:val="center"/>
        <w:rPr>
          <w:rFonts w:ascii="Times New Roman" w:hAnsi="Times New Roman" w:cs="Times New Roman"/>
          <w:b/>
          <w:sz w:val="24"/>
          <w:szCs w:val="24"/>
        </w:rPr>
      </w:pPr>
      <w:r w:rsidRPr="00172D5C">
        <w:rPr>
          <w:rFonts w:ascii="Times New Roman" w:hAnsi="Times New Roman" w:cs="Times New Roman"/>
          <w:b/>
          <w:sz w:val="24"/>
          <w:szCs w:val="24"/>
        </w:rPr>
        <w:t>secondaire à une consommation chronique d'éthanol</w:t>
      </w:r>
    </w:p>
    <w:p w14:paraId="302F217D" w14:textId="77777777" w:rsidR="00172D5C" w:rsidRPr="008853C3" w:rsidRDefault="00172D5C" w:rsidP="008853C3">
      <w:pPr>
        <w:jc w:val="both"/>
        <w:rPr>
          <w:rFonts w:ascii="Times New Roman" w:hAnsi="Times New Roman" w:cs="Times New Roman"/>
          <w:sz w:val="20"/>
          <w:szCs w:val="20"/>
        </w:rPr>
      </w:pPr>
      <w:r w:rsidRPr="00172D5C">
        <w:rPr>
          <w:rFonts w:ascii="Times New Roman" w:hAnsi="Times New Roman" w:cs="Times New Roman"/>
          <w:sz w:val="20"/>
          <w:szCs w:val="20"/>
        </w:rPr>
        <w:t xml:space="preserve">MAA, malondialdéhyde-acétaldéhyde ; TNF, facteur de nécrose tumorale ; TGF, facteur de croissance transformant ; IL, interleukine ; PPAR, récepteur activé par les proliférateurs de peroxysomes ; RXR, récepteur X des rétinoïdes. </w:t>
      </w:r>
      <w:r>
        <w:rPr>
          <w:rFonts w:ascii="Times New Roman" w:hAnsi="Times New Roman" w:cs="Times New Roman"/>
          <w:sz w:val="20"/>
          <w:szCs w:val="20"/>
        </w:rPr>
        <w:t>(</w:t>
      </w:r>
      <w:r w:rsidRPr="00172D5C">
        <w:rPr>
          <w:rFonts w:ascii="Times New Roman" w:hAnsi="Times New Roman" w:cs="Times New Roman"/>
          <w:sz w:val="20"/>
          <w:szCs w:val="20"/>
        </w:rPr>
        <w:t>Extrait de Harrison's Principles Of Internal Medicine, 18e édition)</w:t>
      </w:r>
    </w:p>
    <w:p w14:paraId="1B247C4C" w14:textId="77777777"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14:paraId="61C138D0" w14:textId="77777777"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14:paraId="4CAD6F29" w14:textId="77777777"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14:paraId="348E4B71" w14:textId="77777777" w:rsidR="00C71CE1" w:rsidRPr="00FC0411" w:rsidRDefault="00C71CE1" w:rsidP="00FC0411">
      <w:pPr>
        <w:autoSpaceDE w:val="0"/>
        <w:autoSpaceDN w:val="0"/>
        <w:adjustRightInd w:val="0"/>
        <w:spacing w:after="0"/>
        <w:ind w:firstLine="720"/>
        <w:jc w:val="center"/>
        <w:rPr>
          <w:rFonts w:ascii="Times New Roman" w:hAnsi="Times New Roman" w:cs="Times New Roman"/>
          <w:b/>
          <w:sz w:val="24"/>
          <w:szCs w:val="24"/>
        </w:rPr>
      </w:pPr>
      <w:r w:rsidRPr="00FC0411">
        <w:rPr>
          <w:rFonts w:ascii="Times New Roman" w:hAnsi="Times New Roman" w:cs="Times New Roman"/>
          <w:b/>
          <w:sz w:val="24"/>
          <w:szCs w:val="24"/>
        </w:rPr>
        <w:t>Manifestations de l'insuffisance hépatique</w:t>
      </w:r>
    </w:p>
    <w:p w14:paraId="51F0F5D5" w14:textId="77777777" w:rsidR="00784E4C" w:rsidRDefault="00784E4C" w:rsidP="009852E9">
      <w:pPr>
        <w:autoSpaceDE w:val="0"/>
        <w:autoSpaceDN w:val="0"/>
        <w:adjustRightInd w:val="0"/>
        <w:spacing w:after="0"/>
        <w:ind w:firstLine="720"/>
        <w:jc w:val="both"/>
        <w:rPr>
          <w:rFonts w:ascii="Times New Roman" w:hAnsi="Times New Roman" w:cs="Times New Roman"/>
          <w:sz w:val="24"/>
          <w:szCs w:val="24"/>
        </w:rPr>
      </w:pPr>
      <w:r w:rsidRPr="00784E4C">
        <w:rPr>
          <w:rFonts w:ascii="Times New Roman" w:hAnsi="Times New Roman" w:cs="Times New Roman"/>
          <w:sz w:val="24"/>
          <w:szCs w:val="24"/>
        </w:rPr>
        <w:t xml:space="preserve">Les manifestations de l'insuffisance hépatique reflètent les divers </w:t>
      </w:r>
      <w:r w:rsidR="0028522A">
        <w:rPr>
          <w:rFonts w:ascii="Times New Roman" w:hAnsi="Times New Roman" w:cs="Times New Roman"/>
          <w:sz w:val="24"/>
          <w:szCs w:val="24"/>
        </w:rPr>
        <w:t xml:space="preserve">changements dans </w:t>
      </w:r>
      <w:r w:rsidRPr="00784E4C">
        <w:rPr>
          <w:rFonts w:ascii="Times New Roman" w:hAnsi="Times New Roman" w:cs="Times New Roman"/>
          <w:sz w:val="24"/>
          <w:szCs w:val="24"/>
        </w:rPr>
        <w:t>les fonctions de synthèse, de stockage, de métabolisme et d'élimination du foie.</w:t>
      </w:r>
    </w:p>
    <w:p w14:paraId="2413C6AB" w14:textId="77777777" w:rsidR="009852E9" w:rsidRDefault="009852E9" w:rsidP="00250FCA">
      <w:pPr>
        <w:autoSpaceDE w:val="0"/>
        <w:autoSpaceDN w:val="0"/>
        <w:adjustRightInd w:val="0"/>
        <w:spacing w:after="0"/>
        <w:ind w:firstLine="720"/>
        <w:jc w:val="both"/>
        <w:rPr>
          <w:rFonts w:ascii="Times New Roman" w:hAnsi="Times New Roman" w:cs="Times New Roman"/>
          <w:sz w:val="24"/>
          <w:szCs w:val="24"/>
        </w:rPr>
      </w:pPr>
      <w:r w:rsidRPr="005C6DA0">
        <w:rPr>
          <w:rFonts w:ascii="Times New Roman" w:hAnsi="Times New Roman" w:cs="Times New Roman"/>
          <w:i/>
          <w:sz w:val="24"/>
          <w:szCs w:val="24"/>
        </w:rPr>
        <w:t xml:space="preserve">L'insuffisance hépatique aiguë </w:t>
      </w:r>
      <w:r w:rsidRPr="009852E9">
        <w:rPr>
          <w:rFonts w:ascii="Times New Roman" w:hAnsi="Times New Roman" w:cs="Times New Roman"/>
          <w:sz w:val="24"/>
          <w:szCs w:val="24"/>
        </w:rPr>
        <w:t xml:space="preserve">est définie comme une maladie hépatique aiguë associée à une encéphalopathie et à une coagulopathie qui survient dans les 26 semaines suivant la lésion hépatique initiale en l'absence de maladie hépatique préexistante. L'insuffisance hépatique aiguë était jusqu'à récemment appelée « </w:t>
      </w:r>
      <w:r w:rsidRPr="00C82578">
        <w:rPr>
          <w:rFonts w:ascii="Times New Roman" w:hAnsi="Times New Roman" w:cs="Times New Roman"/>
          <w:i/>
          <w:sz w:val="24"/>
          <w:szCs w:val="24"/>
        </w:rPr>
        <w:t xml:space="preserve">insuffisance hépatique fulminante </w:t>
      </w:r>
      <w:r w:rsidRPr="009852E9">
        <w:rPr>
          <w:rFonts w:ascii="Times New Roman" w:hAnsi="Times New Roman" w:cs="Times New Roman"/>
          <w:sz w:val="24"/>
          <w:szCs w:val="24"/>
        </w:rPr>
        <w:t xml:space="preserve">». Le terme « insuffisance hépatique aiguë » est préféré, mais comme l'ancien terme reste ancré dans la littérature, ces termes sont souvent utilisés de manière interchangeable. </w:t>
      </w:r>
      <w:r w:rsidRPr="00250FCA">
        <w:rPr>
          <w:rFonts w:ascii="Times New Roman" w:hAnsi="Times New Roman" w:cs="Times New Roman"/>
          <w:sz w:val="24"/>
          <w:szCs w:val="24"/>
        </w:rPr>
        <w:t xml:space="preserve">L'insuffisance hépatique aiguë </w:t>
      </w:r>
      <w:r w:rsidRPr="009852E9">
        <w:rPr>
          <w:rFonts w:ascii="Times New Roman" w:hAnsi="Times New Roman" w:cs="Times New Roman"/>
          <w:sz w:val="24"/>
          <w:szCs w:val="24"/>
        </w:rPr>
        <w:t>est causée par une nécrose hépatique massive, le plus souvent induite par des médicaments ou des toxines. L'ingestion accidentelle ou délibérée d'acétaminophène représente près de 50 % des cas aux États-Unis, tandis que l'hépatite auto-immune, d'autres médicaments/toxines et les infections aiguës par les virus de l'hépatite A et B représentent le reste des cas. En Asie, les hépatites B et E aiguës prédominent. En cas d'intoxication à l'acétaminophène, l'insuffisance hépatique survient dans la semaine suivant l'apparition des symptômes, tandis que l'insuffisance due aux virus de l'hépatite met plus de temps à se développer. Le mécanisme de la nécrose hépatocellulaire peut être une lésion toxique directe (comme dans le cas de l'acétaminophène), mais il s'agit le plus souvent d'une combinaison variable de toxicité et de destruction des hépatocytes à médiation immunitaire (par exemple, infection par le virus de l'hépatite).</w:t>
      </w:r>
    </w:p>
    <w:p w14:paraId="25B9633E" w14:textId="77777777" w:rsidR="009852E9" w:rsidRPr="005C6DA0" w:rsidRDefault="00784E4C" w:rsidP="00BE7463">
      <w:pPr>
        <w:autoSpaceDE w:val="0"/>
        <w:autoSpaceDN w:val="0"/>
        <w:adjustRightInd w:val="0"/>
        <w:spacing w:after="0"/>
        <w:ind w:firstLine="720"/>
        <w:jc w:val="both"/>
        <w:rPr>
          <w:rFonts w:ascii="Times New Roman" w:hAnsi="Times New Roman" w:cs="Times New Roman"/>
          <w:sz w:val="24"/>
          <w:szCs w:val="24"/>
          <w:u w:val="single"/>
        </w:rPr>
      </w:pPr>
      <w:r w:rsidRPr="003B7656">
        <w:rPr>
          <w:rFonts w:ascii="Times New Roman" w:hAnsi="Times New Roman" w:cs="Times New Roman"/>
          <w:sz w:val="24"/>
          <w:szCs w:val="24"/>
        </w:rPr>
        <w:t>L'insuffisance hépatique aiguë se manifeste d'abord par des nausées, des vomissements et une jaunisse, suivis d'une encéphalopathie potentiellement mortelle et de troubles de la coagulation. En général, les transaminases hépatiques sériques sont nettement élevées. Le foie est initialement hypertrophié en raison du gonflement des hépatocytes, des infiltrats inflammatoires et de l'œdème ; cependant, à mesure que le parenchyme est détruit, le foie rétrécit considérablement. La baisse des transaminases sériques à mesure que le foie rétrécit n'est donc souvent pas un signe d'amélioration, mais plutôt une indication qu'il ne reste que peu d'hépatocytes viables ; cette suspicion est confirmée en cas d'aggravation de la jaunisse, de la coagulopathie et de l'encéphalopathie. Si la progression se poursuit sans relâche, une défaillance multiviscérale survient et, si la transplantation n'est pas possible, le décès s'ensuit</w:t>
      </w:r>
      <w:r w:rsidR="003B7656">
        <w:rPr>
          <w:rFonts w:ascii="Times New Roman" w:hAnsi="Times New Roman" w:cs="Times New Roman"/>
          <w:sz w:val="24"/>
          <w:szCs w:val="24"/>
        </w:rPr>
        <w:t>.</w:t>
      </w:r>
    </w:p>
    <w:p w14:paraId="54210230" w14:textId="77777777" w:rsidR="00784E4C" w:rsidRPr="00784E4C" w:rsidRDefault="006028AC" w:rsidP="00784E4C">
      <w:pPr>
        <w:autoSpaceDE w:val="0"/>
        <w:autoSpaceDN w:val="0"/>
        <w:adjustRightInd w:val="0"/>
        <w:spacing w:after="0"/>
        <w:ind w:firstLine="720"/>
        <w:jc w:val="both"/>
        <w:rPr>
          <w:rFonts w:ascii="Times New Roman" w:hAnsi="Times New Roman" w:cs="Times New Roman"/>
          <w:b/>
          <w:sz w:val="24"/>
          <w:szCs w:val="24"/>
        </w:rPr>
      </w:pPr>
      <w:r>
        <w:rPr>
          <w:rFonts w:ascii="Times New Roman" w:hAnsi="Times New Roman" w:cs="Times New Roman"/>
          <w:b/>
          <w:sz w:val="24"/>
          <w:szCs w:val="24"/>
        </w:rPr>
        <w:t xml:space="preserve">Insuffisance hépatique chronique </w:t>
      </w:r>
    </w:p>
    <w:p w14:paraId="115DBBEA" w14:textId="77777777" w:rsidR="001E205B" w:rsidRDefault="00784E4C" w:rsidP="00CF1A8F">
      <w:pPr>
        <w:autoSpaceDE w:val="0"/>
        <w:autoSpaceDN w:val="0"/>
        <w:adjustRightInd w:val="0"/>
        <w:spacing w:after="0"/>
        <w:ind w:firstLine="720"/>
        <w:jc w:val="both"/>
        <w:rPr>
          <w:rFonts w:ascii="Times New Roman" w:hAnsi="Times New Roman" w:cs="Times New Roman"/>
          <w:sz w:val="24"/>
          <w:szCs w:val="24"/>
        </w:rPr>
      </w:pPr>
      <w:r w:rsidRPr="00784E4C">
        <w:rPr>
          <w:rFonts w:ascii="Times New Roman" w:hAnsi="Times New Roman" w:cs="Times New Roman"/>
          <w:sz w:val="24"/>
          <w:szCs w:val="24"/>
        </w:rPr>
        <w:t xml:space="preserve">Les principales causes d'insuffisance hépatique chronique dans le monde sont l'hépatite B chronique, l'hépatite C chronique, la stéatose hépatique non alcoolique et la maladie alcoolique du foie. L'insuffisance hépatique dans les maladies chroniques du foie est le plus souvent associée à une cirrhose, une affection caractérisée par la transformation diffuse de l'ensemble du foie en nodules parenchymateux régénératifs entourés de bandes fibreuses et par des shunts vasculaires (souvent portosystémiques) à des degrés variables. </w:t>
      </w:r>
    </w:p>
    <w:p w14:paraId="53FEB6A1" w14:textId="77777777" w:rsidR="001E205B" w:rsidRPr="00A772C5" w:rsidRDefault="001E205B" w:rsidP="001E205B">
      <w:pPr>
        <w:autoSpaceDE w:val="0"/>
        <w:autoSpaceDN w:val="0"/>
        <w:adjustRightInd w:val="0"/>
        <w:spacing w:after="0"/>
        <w:ind w:firstLine="720"/>
        <w:jc w:val="both"/>
        <w:rPr>
          <w:rFonts w:ascii="Times New Roman" w:hAnsi="Times New Roman" w:cs="Times New Roman"/>
          <w:i/>
          <w:sz w:val="24"/>
          <w:szCs w:val="24"/>
        </w:rPr>
      </w:pPr>
      <w:r w:rsidRPr="00A772C5">
        <w:rPr>
          <w:rFonts w:ascii="Times New Roman" w:hAnsi="Times New Roman" w:cs="Times New Roman"/>
          <w:i/>
          <w:sz w:val="24"/>
          <w:szCs w:val="24"/>
        </w:rPr>
        <w:t xml:space="preserve">Troubles métaboliques </w:t>
      </w:r>
      <w:r w:rsidR="006763CC" w:rsidRPr="00A772C5">
        <w:rPr>
          <w:rFonts w:ascii="Times New Roman" w:hAnsi="Times New Roman" w:cs="Times New Roman"/>
          <w:i/>
          <w:sz w:val="24"/>
          <w:szCs w:val="24"/>
        </w:rPr>
        <w:t>dans l'insuffisance hépatique</w:t>
      </w:r>
    </w:p>
    <w:p w14:paraId="6DB12849" w14:textId="77777777" w:rsidR="00A772C5" w:rsidRPr="00D526F8" w:rsidRDefault="006763CC" w:rsidP="00D526F8">
      <w:pPr>
        <w:autoSpaceDE w:val="0"/>
        <w:autoSpaceDN w:val="0"/>
        <w:adjustRightInd w:val="0"/>
        <w:spacing w:after="0"/>
        <w:ind w:firstLine="720"/>
        <w:jc w:val="both"/>
        <w:rPr>
          <w:rFonts w:ascii="Times New Roman" w:hAnsi="Times New Roman" w:cs="Times New Roman"/>
          <w:i/>
          <w:sz w:val="24"/>
          <w:szCs w:val="24"/>
        </w:rPr>
      </w:pPr>
      <w:r w:rsidRPr="006763CC">
        <w:rPr>
          <w:rFonts w:ascii="Times New Roman" w:hAnsi="Times New Roman" w:cs="Times New Roman"/>
          <w:i/>
          <w:sz w:val="24"/>
          <w:szCs w:val="24"/>
        </w:rPr>
        <w:t>Modifications du métabolisme protéique</w:t>
      </w:r>
      <w:r w:rsidR="006B49F1">
        <w:rPr>
          <w:rFonts w:ascii="Times New Roman" w:hAnsi="Times New Roman" w:cs="Times New Roman"/>
          <w:sz w:val="24"/>
          <w:szCs w:val="24"/>
        </w:rPr>
        <w:t>.</w:t>
      </w:r>
      <w:r w:rsidR="00D526F8">
        <w:rPr>
          <w:rFonts w:ascii="Times New Roman" w:hAnsi="Times New Roman" w:cs="Times New Roman"/>
          <w:i/>
          <w:sz w:val="24"/>
          <w:szCs w:val="24"/>
        </w:rPr>
        <w:t xml:space="preserve"> </w:t>
      </w:r>
      <w:r w:rsidRPr="00A772C5">
        <w:rPr>
          <w:rFonts w:ascii="Times New Roman" w:hAnsi="Times New Roman" w:cs="Times New Roman"/>
          <w:sz w:val="24"/>
          <w:szCs w:val="24"/>
        </w:rPr>
        <w:t>En cas d'insuffisance hépatique</w:t>
      </w:r>
      <w:r w:rsidR="0031111B">
        <w:rPr>
          <w:rFonts w:ascii="Times New Roman" w:hAnsi="Times New Roman" w:cs="Times New Roman"/>
          <w:sz w:val="24"/>
          <w:szCs w:val="24"/>
        </w:rPr>
        <w:t>, le métabolisme</w:t>
      </w:r>
      <w:r w:rsidRPr="00A772C5">
        <w:rPr>
          <w:rFonts w:ascii="Times New Roman" w:hAnsi="Times New Roman" w:cs="Times New Roman"/>
          <w:sz w:val="24"/>
          <w:szCs w:val="24"/>
        </w:rPr>
        <w:t xml:space="preserve"> protéique </w:t>
      </w:r>
      <w:r w:rsidR="0031111B">
        <w:rPr>
          <w:rFonts w:ascii="Times New Roman" w:hAnsi="Times New Roman" w:cs="Times New Roman"/>
          <w:sz w:val="24"/>
          <w:szCs w:val="24"/>
        </w:rPr>
        <w:t xml:space="preserve">subit de multiples modifications. </w:t>
      </w:r>
      <w:r w:rsidR="00A772C5" w:rsidRPr="00A772C5">
        <w:rPr>
          <w:rFonts w:ascii="Times New Roman" w:hAnsi="Times New Roman" w:cs="Times New Roman"/>
          <w:sz w:val="24"/>
          <w:szCs w:val="24"/>
        </w:rPr>
        <w:t>La synthèse protéique dans le foie est réduite. Les troubles de la synthèse de l'albumine sont les premiers troubles caractéristiques de l'insuffisance hépatique, caractérisés par une diminution de la concentration d'albumine dans le sang (</w:t>
      </w:r>
      <w:r w:rsidR="00A772C5" w:rsidRPr="00A772C5">
        <w:rPr>
          <w:rFonts w:ascii="Times New Roman" w:hAnsi="Times New Roman" w:cs="Times New Roman"/>
          <w:i/>
          <w:sz w:val="24"/>
          <w:szCs w:val="24"/>
        </w:rPr>
        <w:t>hypoalbuminémie</w:t>
      </w:r>
      <w:r w:rsidR="00A772C5" w:rsidRPr="00A772C5">
        <w:rPr>
          <w:rFonts w:ascii="Times New Roman" w:hAnsi="Times New Roman" w:cs="Times New Roman"/>
          <w:sz w:val="24"/>
          <w:szCs w:val="24"/>
        </w:rPr>
        <w:t xml:space="preserve">). </w:t>
      </w:r>
      <w:r w:rsidR="006B49F1">
        <w:rPr>
          <w:rFonts w:ascii="Times New Roman" w:hAnsi="Times New Roman" w:cs="Times New Roman"/>
          <w:sz w:val="24"/>
          <w:szCs w:val="24"/>
        </w:rPr>
        <w:t>La demi-vie des albumines étant élevée, les signes d'hypoalbuminémie se manifestent après plusieurs semaines de maladie.</w:t>
      </w:r>
      <w:r w:rsidR="006B49F1" w:rsidRPr="00A772C5">
        <w:rPr>
          <w:rFonts w:ascii="Times New Roman" w:hAnsi="Times New Roman" w:cs="Times New Roman"/>
          <w:sz w:val="24"/>
          <w:szCs w:val="24"/>
        </w:rPr>
        <w:t xml:space="preserve"> </w:t>
      </w:r>
      <w:r w:rsidR="00A772C5" w:rsidRPr="00A772C5">
        <w:rPr>
          <w:rFonts w:ascii="Times New Roman" w:hAnsi="Times New Roman" w:cs="Times New Roman"/>
          <w:sz w:val="24"/>
          <w:szCs w:val="24"/>
        </w:rPr>
        <w:t xml:space="preserve">Au stade précoce de l'insuffisance hépatique, la quantité totale de protéines reste inchangée, car le foie, dans le cadre d'une réaction compensatoire, synthétise des globulines. Cela conduit finalement à des modifications </w:t>
      </w:r>
      <w:r w:rsidR="00CF1A8F">
        <w:rPr>
          <w:rFonts w:ascii="Times New Roman" w:hAnsi="Times New Roman" w:cs="Times New Roman"/>
          <w:sz w:val="24"/>
          <w:szCs w:val="24"/>
        </w:rPr>
        <w:t xml:space="preserve">du rapport albumine/globuline. </w:t>
      </w:r>
      <w:r w:rsidR="00A772C5" w:rsidRPr="00A772C5">
        <w:rPr>
          <w:rFonts w:ascii="Times New Roman" w:hAnsi="Times New Roman" w:cs="Times New Roman"/>
          <w:sz w:val="24"/>
          <w:szCs w:val="24"/>
        </w:rPr>
        <w:t xml:space="preserve">La diminution de la synthèse des protéines peut également s'expliquer par une pénurie d'ATP hépatique et </w:t>
      </w:r>
      <w:r w:rsidR="00C82578">
        <w:rPr>
          <w:rFonts w:ascii="Times New Roman" w:hAnsi="Times New Roman" w:cs="Times New Roman"/>
          <w:sz w:val="24"/>
          <w:szCs w:val="24"/>
        </w:rPr>
        <w:t>un dysfonctionnement</w:t>
      </w:r>
      <w:r w:rsidR="00A772C5" w:rsidRPr="00A772C5">
        <w:rPr>
          <w:rFonts w:ascii="Times New Roman" w:hAnsi="Times New Roman" w:cs="Times New Roman"/>
          <w:sz w:val="24"/>
          <w:szCs w:val="24"/>
        </w:rPr>
        <w:t xml:space="preserve"> des ribosomes.</w:t>
      </w:r>
      <w:r w:rsidR="00CF1A8F">
        <w:rPr>
          <w:rFonts w:ascii="Times New Roman" w:hAnsi="Times New Roman" w:cs="Times New Roman"/>
          <w:sz w:val="24"/>
          <w:szCs w:val="24"/>
        </w:rPr>
        <w:t xml:space="preserve"> </w:t>
      </w:r>
      <w:r w:rsidR="00A772C5" w:rsidRPr="00A772C5">
        <w:rPr>
          <w:rFonts w:ascii="Times New Roman" w:hAnsi="Times New Roman" w:cs="Times New Roman"/>
          <w:sz w:val="24"/>
          <w:szCs w:val="24"/>
        </w:rPr>
        <w:t xml:space="preserve">De plus, on peut identifier dans le sang des patients atteints d'insuffisance hépatique des globulines dont les propriétés physico-chimiques sont altérées, un phénomène connu sous le nom de </w:t>
      </w:r>
      <w:r w:rsidR="00A772C5" w:rsidRPr="00A772C5">
        <w:rPr>
          <w:rFonts w:ascii="Times New Roman" w:hAnsi="Times New Roman" w:cs="Times New Roman"/>
          <w:i/>
          <w:sz w:val="24"/>
          <w:szCs w:val="24"/>
        </w:rPr>
        <w:t>paraprotéinémie</w:t>
      </w:r>
      <w:r w:rsidR="00A772C5" w:rsidRPr="00A772C5">
        <w:rPr>
          <w:rFonts w:ascii="Times New Roman" w:hAnsi="Times New Roman" w:cs="Times New Roman"/>
          <w:sz w:val="24"/>
          <w:szCs w:val="24"/>
        </w:rPr>
        <w:t>. La diminution du taux de protéines plasmatiques entraîne une réduction de la pression oncotique du sang (</w:t>
      </w:r>
      <w:r w:rsidR="00A772C5" w:rsidRPr="00A772C5">
        <w:rPr>
          <w:rFonts w:ascii="Times New Roman" w:hAnsi="Times New Roman" w:cs="Times New Roman"/>
          <w:i/>
          <w:sz w:val="24"/>
          <w:szCs w:val="24"/>
        </w:rPr>
        <w:t>hyponchionie</w:t>
      </w:r>
      <w:r w:rsidR="00A772C5" w:rsidRPr="00A772C5">
        <w:rPr>
          <w:rFonts w:ascii="Times New Roman" w:hAnsi="Times New Roman" w:cs="Times New Roman"/>
          <w:sz w:val="24"/>
          <w:szCs w:val="24"/>
        </w:rPr>
        <w:t xml:space="preserve">), ce qui conduit à une extravasation du liquide intravasculaire et au développement d'œdèmes interstitiels </w:t>
      </w:r>
      <w:r w:rsidR="00A772C5">
        <w:rPr>
          <w:rFonts w:ascii="Times New Roman" w:hAnsi="Times New Roman" w:cs="Times New Roman"/>
          <w:sz w:val="24"/>
          <w:szCs w:val="24"/>
        </w:rPr>
        <w:t>et d'ascites</w:t>
      </w:r>
      <w:r w:rsidR="0031111B">
        <w:rPr>
          <w:rFonts w:ascii="Times New Roman" w:hAnsi="Times New Roman" w:cs="Times New Roman"/>
          <w:sz w:val="24"/>
          <w:szCs w:val="24"/>
        </w:rPr>
        <w:t xml:space="preserve">. </w:t>
      </w:r>
      <w:r w:rsidR="00A772C5" w:rsidRPr="00A772C5">
        <w:rPr>
          <w:rFonts w:ascii="Times New Roman" w:hAnsi="Times New Roman" w:cs="Times New Roman"/>
          <w:sz w:val="24"/>
          <w:szCs w:val="24"/>
        </w:rPr>
        <w:t>En cas d'insuffisance hépatique, il peut y avoir une diminution de la synthèse de protéines spécifiques (prothrombine</w:t>
      </w:r>
      <w:r w:rsidR="0031111B">
        <w:rPr>
          <w:rFonts w:ascii="Times New Roman" w:hAnsi="Times New Roman" w:cs="Times New Roman"/>
          <w:sz w:val="24"/>
          <w:szCs w:val="24"/>
        </w:rPr>
        <w:t xml:space="preserve">, proconvertine et fibrinogène) </w:t>
      </w:r>
      <w:r w:rsidR="00A772C5" w:rsidRPr="00A772C5">
        <w:rPr>
          <w:rFonts w:ascii="Times New Roman" w:hAnsi="Times New Roman" w:cs="Times New Roman"/>
          <w:sz w:val="24"/>
          <w:szCs w:val="24"/>
        </w:rPr>
        <w:t xml:space="preserve">d </w:t>
      </w:r>
      <w:r w:rsidR="0031111B">
        <w:rPr>
          <w:rFonts w:ascii="Times New Roman" w:hAnsi="Times New Roman" w:cs="Times New Roman"/>
          <w:sz w:val="24"/>
          <w:szCs w:val="24"/>
        </w:rPr>
        <w:t xml:space="preserve">. </w:t>
      </w:r>
      <w:r w:rsidR="00A772C5" w:rsidRPr="00A772C5">
        <w:rPr>
          <w:rFonts w:ascii="Times New Roman" w:hAnsi="Times New Roman" w:cs="Times New Roman"/>
          <w:sz w:val="24"/>
          <w:szCs w:val="24"/>
        </w:rPr>
        <w:t>Il convient de mentionner que la vitamine K joue un rôle important  dans la synthèse des facteurs</w:t>
      </w:r>
      <w:r w:rsidR="00A772C5">
        <w:rPr>
          <w:rFonts w:ascii="Times New Roman" w:hAnsi="Times New Roman" w:cs="Times New Roman"/>
          <w:sz w:val="24"/>
          <w:szCs w:val="24"/>
        </w:rPr>
        <w:t xml:space="preserve"> de coagulation </w:t>
      </w:r>
      <w:r w:rsidR="00A772C5" w:rsidRPr="00A772C5">
        <w:rPr>
          <w:rFonts w:ascii="Times New Roman" w:hAnsi="Times New Roman" w:cs="Times New Roman"/>
          <w:sz w:val="24"/>
          <w:szCs w:val="24"/>
        </w:rPr>
        <w:t xml:space="preserve">II, V, VII et X, vitamine qui, en cas d'insuffisance hépatique, peut être réduite en raison d'une malabsorption. Tout cela explique le développement d'un syndrome hémorragique.  </w:t>
      </w:r>
    </w:p>
    <w:p w14:paraId="406364A4" w14:textId="77777777" w:rsidR="006763CC" w:rsidRPr="00A772C5" w:rsidRDefault="00A772C5" w:rsidP="00A772C5">
      <w:pPr>
        <w:autoSpaceDE w:val="0"/>
        <w:autoSpaceDN w:val="0"/>
        <w:adjustRightInd w:val="0"/>
        <w:spacing w:after="0"/>
        <w:ind w:firstLine="720"/>
        <w:jc w:val="both"/>
        <w:rPr>
          <w:rFonts w:ascii="Times New Roman" w:hAnsi="Times New Roman" w:cs="Times New Roman"/>
          <w:sz w:val="24"/>
          <w:szCs w:val="24"/>
        </w:rPr>
      </w:pPr>
      <w:r w:rsidRPr="00A772C5">
        <w:rPr>
          <w:rFonts w:ascii="Times New Roman" w:hAnsi="Times New Roman" w:cs="Times New Roman"/>
          <w:sz w:val="24"/>
          <w:szCs w:val="24"/>
        </w:rPr>
        <w:t xml:space="preserve">Les troubles métaboliques des </w:t>
      </w:r>
      <w:r w:rsidR="006763CC" w:rsidRPr="00A772C5">
        <w:rPr>
          <w:rFonts w:ascii="Times New Roman" w:hAnsi="Times New Roman" w:cs="Times New Roman"/>
          <w:sz w:val="24"/>
          <w:szCs w:val="24"/>
        </w:rPr>
        <w:t xml:space="preserve">acides aminés aminés </w:t>
      </w:r>
      <w:r w:rsidRPr="00A772C5">
        <w:rPr>
          <w:rFonts w:ascii="Times New Roman" w:hAnsi="Times New Roman" w:cs="Times New Roman"/>
          <w:sz w:val="24"/>
          <w:szCs w:val="24"/>
        </w:rPr>
        <w:t xml:space="preserve">se </w:t>
      </w:r>
      <w:r w:rsidR="006763CC" w:rsidRPr="00A772C5">
        <w:rPr>
          <w:rFonts w:ascii="Times New Roman" w:hAnsi="Times New Roman" w:cs="Times New Roman"/>
          <w:sz w:val="24"/>
          <w:szCs w:val="24"/>
        </w:rPr>
        <w:t>caractérisent par une transamination altérée dans les hépatocytes affectés</w:t>
      </w:r>
      <w:r w:rsidR="00970D33">
        <w:rPr>
          <w:rFonts w:ascii="Times New Roman" w:hAnsi="Times New Roman" w:cs="Times New Roman"/>
          <w:sz w:val="24"/>
          <w:szCs w:val="24"/>
        </w:rPr>
        <w:t xml:space="preserve">, </w:t>
      </w:r>
      <w:r w:rsidR="006763CC" w:rsidRPr="00A772C5">
        <w:rPr>
          <w:rFonts w:ascii="Times New Roman" w:hAnsi="Times New Roman" w:cs="Times New Roman"/>
          <w:sz w:val="24"/>
          <w:szCs w:val="24"/>
        </w:rPr>
        <w:t xml:space="preserve">ce qui </w:t>
      </w:r>
      <w:r w:rsidR="00970D33">
        <w:rPr>
          <w:rFonts w:ascii="Times New Roman" w:hAnsi="Times New Roman" w:cs="Times New Roman"/>
          <w:sz w:val="24"/>
          <w:szCs w:val="24"/>
        </w:rPr>
        <w:t xml:space="preserve">entraîne </w:t>
      </w:r>
      <w:r w:rsidR="006763CC" w:rsidRPr="00A772C5">
        <w:rPr>
          <w:rFonts w:ascii="Times New Roman" w:hAnsi="Times New Roman" w:cs="Times New Roman"/>
          <w:sz w:val="24"/>
          <w:szCs w:val="24"/>
        </w:rPr>
        <w:t xml:space="preserve">une accumulation d'acides aminés </w:t>
      </w:r>
      <w:r w:rsidR="00970D33">
        <w:rPr>
          <w:rFonts w:ascii="Times New Roman" w:hAnsi="Times New Roman" w:cs="Times New Roman"/>
          <w:sz w:val="24"/>
          <w:szCs w:val="24"/>
        </w:rPr>
        <w:t xml:space="preserve">inutilisés </w:t>
      </w:r>
      <w:r w:rsidR="006763CC" w:rsidRPr="00A772C5">
        <w:rPr>
          <w:rFonts w:ascii="Times New Roman" w:hAnsi="Times New Roman" w:cs="Times New Roman"/>
          <w:sz w:val="24"/>
          <w:szCs w:val="24"/>
        </w:rPr>
        <w:t xml:space="preserve">dans le sang avec hyperaminoacidémie et aminoacidurie. Il convient de mentionner que l'insuffisance hépatique s'accompagne </w:t>
      </w:r>
      <w:r w:rsidR="00970D33">
        <w:rPr>
          <w:rFonts w:ascii="Times New Roman" w:hAnsi="Times New Roman" w:cs="Times New Roman"/>
          <w:sz w:val="24"/>
          <w:szCs w:val="24"/>
        </w:rPr>
        <w:t>d'une modification</w:t>
      </w:r>
      <w:r w:rsidR="006763CC" w:rsidRPr="00A772C5">
        <w:rPr>
          <w:rFonts w:ascii="Times New Roman" w:hAnsi="Times New Roman" w:cs="Times New Roman"/>
          <w:sz w:val="24"/>
          <w:szCs w:val="24"/>
        </w:rPr>
        <w:t xml:space="preserve"> caractéristique </w:t>
      </w:r>
      <w:r w:rsidR="00970D33">
        <w:rPr>
          <w:rFonts w:ascii="Times New Roman" w:hAnsi="Times New Roman" w:cs="Times New Roman"/>
          <w:sz w:val="24"/>
          <w:szCs w:val="24"/>
        </w:rPr>
        <w:t xml:space="preserve">du rapport sanguin entre les acides aminés ramifiés et aromatiques.  Dans des conditions normales, les acides aminés ramifiés absorbés par le tractus gastro-intestinal pénètrent dans la circulation portale et traversent le foie sans être métabolisés. Ceux-ci ne sont métabolisés qu'au niveau des tissus périphériques. Les acides aminés aromatiques, transportés par le sang porte, sont métabolisés dans le foie. Ainsi, chez </w:t>
      </w:r>
      <w:r w:rsidR="00BE7463">
        <w:rPr>
          <w:rFonts w:ascii="Times New Roman" w:hAnsi="Times New Roman" w:cs="Times New Roman"/>
          <w:sz w:val="24"/>
          <w:szCs w:val="24"/>
        </w:rPr>
        <w:t>les individus en bonne santé</w:t>
      </w:r>
      <w:r w:rsidR="00970D33">
        <w:rPr>
          <w:rFonts w:ascii="Times New Roman" w:hAnsi="Times New Roman" w:cs="Times New Roman"/>
          <w:sz w:val="24"/>
          <w:szCs w:val="24"/>
        </w:rPr>
        <w:t>,</w:t>
      </w:r>
      <w:r w:rsidR="00BE7463">
        <w:rPr>
          <w:rFonts w:ascii="Times New Roman" w:hAnsi="Times New Roman" w:cs="Times New Roman"/>
          <w:sz w:val="24"/>
          <w:szCs w:val="24"/>
        </w:rPr>
        <w:t xml:space="preserve"> le rapport sanguin </w:t>
      </w:r>
      <w:r w:rsidR="00970D33">
        <w:rPr>
          <w:rFonts w:ascii="Times New Roman" w:hAnsi="Times New Roman" w:cs="Times New Roman"/>
          <w:sz w:val="24"/>
          <w:szCs w:val="24"/>
        </w:rPr>
        <w:t xml:space="preserve">entre les acides aminés ramifiés et les acides aminés aromatiques est de 3:1. En cas d'insuffisance hépatique, on observe </w:t>
      </w:r>
      <w:r w:rsidR="008B45C6" w:rsidRPr="00A772C5">
        <w:rPr>
          <w:rFonts w:ascii="Times New Roman" w:hAnsi="Times New Roman" w:cs="Times New Roman"/>
          <w:sz w:val="24"/>
          <w:szCs w:val="24"/>
        </w:rPr>
        <w:t>une diminution</w:t>
      </w:r>
      <w:r w:rsidR="008B45C6">
        <w:rPr>
          <w:rFonts w:ascii="Times New Roman" w:hAnsi="Times New Roman" w:cs="Times New Roman"/>
          <w:sz w:val="24"/>
          <w:szCs w:val="24"/>
        </w:rPr>
        <w:t xml:space="preserve"> caractéristique</w:t>
      </w:r>
      <w:r w:rsidR="00970D33">
        <w:rPr>
          <w:rFonts w:ascii="Times New Roman" w:hAnsi="Times New Roman" w:cs="Times New Roman"/>
          <w:sz w:val="24"/>
          <w:szCs w:val="24"/>
        </w:rPr>
        <w:t xml:space="preserve"> </w:t>
      </w:r>
      <w:r w:rsidR="006763CC" w:rsidRPr="00A772C5">
        <w:rPr>
          <w:rFonts w:ascii="Times New Roman" w:hAnsi="Times New Roman" w:cs="Times New Roman"/>
          <w:sz w:val="24"/>
          <w:szCs w:val="24"/>
        </w:rPr>
        <w:t xml:space="preserve">du taux plasmatique d'acides aminés </w:t>
      </w:r>
      <w:r w:rsidR="00C82578">
        <w:rPr>
          <w:rFonts w:ascii="Times New Roman" w:hAnsi="Times New Roman" w:cs="Times New Roman"/>
          <w:sz w:val="24"/>
          <w:szCs w:val="24"/>
        </w:rPr>
        <w:t>ramifiés</w:t>
      </w:r>
      <w:r w:rsidR="006763CC" w:rsidRPr="00A772C5">
        <w:rPr>
          <w:rFonts w:ascii="Times New Roman" w:hAnsi="Times New Roman" w:cs="Times New Roman"/>
          <w:sz w:val="24"/>
          <w:szCs w:val="24"/>
        </w:rPr>
        <w:t xml:space="preserve"> (leucine, isoleucine, valine) en raison de leur </w:t>
      </w:r>
      <w:r w:rsidR="00970D33">
        <w:rPr>
          <w:rFonts w:ascii="Times New Roman" w:hAnsi="Times New Roman" w:cs="Times New Roman"/>
          <w:sz w:val="24"/>
          <w:szCs w:val="24"/>
        </w:rPr>
        <w:t>dégradation</w:t>
      </w:r>
      <w:r w:rsidR="006763CC" w:rsidRPr="00A772C5">
        <w:rPr>
          <w:rFonts w:ascii="Times New Roman" w:hAnsi="Times New Roman" w:cs="Times New Roman"/>
          <w:sz w:val="24"/>
          <w:szCs w:val="24"/>
        </w:rPr>
        <w:t xml:space="preserve"> périphérique</w:t>
      </w:r>
      <w:r w:rsidR="00970D33">
        <w:rPr>
          <w:rFonts w:ascii="Times New Roman" w:hAnsi="Times New Roman" w:cs="Times New Roman"/>
          <w:sz w:val="24"/>
          <w:szCs w:val="24"/>
        </w:rPr>
        <w:t xml:space="preserve"> accrue </w:t>
      </w:r>
      <w:r w:rsidR="006763CC" w:rsidRPr="00A772C5">
        <w:rPr>
          <w:rFonts w:ascii="Times New Roman" w:hAnsi="Times New Roman" w:cs="Times New Roman"/>
          <w:sz w:val="24"/>
          <w:szCs w:val="24"/>
        </w:rPr>
        <w:t xml:space="preserve">dans </w:t>
      </w:r>
      <w:r w:rsidR="00970D33">
        <w:rPr>
          <w:rFonts w:ascii="Times New Roman" w:hAnsi="Times New Roman" w:cs="Times New Roman"/>
          <w:sz w:val="24"/>
          <w:szCs w:val="24"/>
        </w:rPr>
        <w:t xml:space="preserve">les tissus musculaires et adipeux (effet d'un excès d'insuline, qui n'est pas inactivée dans le foie) </w:t>
      </w:r>
      <w:r w:rsidR="006763CC" w:rsidRPr="00A772C5">
        <w:rPr>
          <w:rFonts w:ascii="Times New Roman" w:hAnsi="Times New Roman" w:cs="Times New Roman"/>
          <w:sz w:val="24"/>
          <w:szCs w:val="24"/>
        </w:rPr>
        <w:t xml:space="preserve">et d'une augmentation du taux d'acides aminés aromatiques (tyrosine, phénylalanine, </w:t>
      </w:r>
      <w:r w:rsidR="006028AC" w:rsidRPr="00A772C5">
        <w:rPr>
          <w:rFonts w:ascii="Times New Roman" w:hAnsi="Times New Roman" w:cs="Times New Roman"/>
          <w:sz w:val="24"/>
          <w:szCs w:val="24"/>
        </w:rPr>
        <w:t>méthionine</w:t>
      </w:r>
      <w:r w:rsidR="006763CC" w:rsidRPr="00A772C5">
        <w:rPr>
          <w:rFonts w:ascii="Times New Roman" w:hAnsi="Times New Roman" w:cs="Times New Roman"/>
          <w:sz w:val="24"/>
          <w:szCs w:val="24"/>
        </w:rPr>
        <w:t xml:space="preserve">) </w:t>
      </w:r>
      <w:r w:rsidR="00970D33">
        <w:rPr>
          <w:rFonts w:ascii="Times New Roman" w:hAnsi="Times New Roman" w:cs="Times New Roman"/>
          <w:sz w:val="24"/>
          <w:szCs w:val="24"/>
        </w:rPr>
        <w:t xml:space="preserve">due à l'absence de leur dégradation dans le foie, de sorte que le rapport sanguin entre les acides aminés ramifiés et les acides aminés aromatiques sera de 1:2. </w:t>
      </w:r>
    </w:p>
    <w:p w14:paraId="4018C59D" w14:textId="77777777" w:rsidR="006763CC" w:rsidRPr="006028AC" w:rsidRDefault="006763CC" w:rsidP="004F610D">
      <w:pPr>
        <w:ind w:firstLine="708"/>
        <w:jc w:val="both"/>
        <w:rPr>
          <w:rFonts w:ascii="Times New Roman" w:hAnsi="Times New Roman" w:cs="Times New Roman"/>
          <w:sz w:val="24"/>
          <w:szCs w:val="24"/>
        </w:rPr>
      </w:pPr>
      <w:r w:rsidRPr="00496C4F">
        <w:rPr>
          <w:rFonts w:ascii="Times New Roman" w:hAnsi="Times New Roman" w:cs="Times New Roman"/>
          <w:sz w:val="24"/>
          <w:szCs w:val="24"/>
        </w:rPr>
        <w:t xml:space="preserve">        En cas d'insuffisance hépatique, des modifications peuvent survenir dans le processus de synthèse de la créatinine à partir de la créatine, ce qui explique l'augmentation du taux de créatine dans le sang (hypercréatinémie) et dans l'urine (créaturie), tandis que la créatinine excrétée dans l'urine est réduite. </w:t>
      </w:r>
      <w:r w:rsidR="004F610D">
        <w:rPr>
          <w:rFonts w:ascii="Times New Roman" w:hAnsi="Times New Roman" w:cs="Times New Roman"/>
          <w:sz w:val="24"/>
          <w:szCs w:val="24"/>
        </w:rPr>
        <w:t xml:space="preserve">Au niveau du foie, l'urée est synthétisée à partir de quatre acides aminés (ornithine, </w:t>
      </w:r>
      <w:r w:rsidR="008B45C6">
        <w:rPr>
          <w:rFonts w:ascii="Times New Roman" w:hAnsi="Times New Roman" w:cs="Times New Roman"/>
          <w:sz w:val="24"/>
          <w:szCs w:val="24"/>
        </w:rPr>
        <w:t>citrulline</w:t>
      </w:r>
      <w:r w:rsidR="004F610D">
        <w:rPr>
          <w:rFonts w:ascii="Times New Roman" w:hAnsi="Times New Roman" w:cs="Times New Roman"/>
          <w:sz w:val="24"/>
          <w:szCs w:val="24"/>
        </w:rPr>
        <w:t xml:space="preserve">, arginine et aspartate). Comme les enzymes impliquées dans le cycle de l'urée sont d'origine hépatique, en cas d'insuffisance hépatique, la synthèse de l'urée à partir des acides aminés est réduite, avec une diminution du taux d'azote uréique sanguin (BUN). </w:t>
      </w:r>
      <w:r w:rsidRPr="00496C4F">
        <w:rPr>
          <w:rFonts w:ascii="Times New Roman" w:hAnsi="Times New Roman" w:cs="Times New Roman"/>
          <w:sz w:val="24"/>
          <w:szCs w:val="24"/>
        </w:rPr>
        <w:t xml:space="preserve">Dans le sang, </w:t>
      </w:r>
      <w:r w:rsidR="00496C4F">
        <w:rPr>
          <w:rFonts w:ascii="Times New Roman" w:hAnsi="Times New Roman" w:cs="Times New Roman"/>
          <w:sz w:val="24"/>
          <w:szCs w:val="24"/>
        </w:rPr>
        <w:t xml:space="preserve">on </w:t>
      </w:r>
      <w:r w:rsidRPr="00496C4F">
        <w:rPr>
          <w:rFonts w:ascii="Times New Roman" w:hAnsi="Times New Roman" w:cs="Times New Roman"/>
          <w:sz w:val="24"/>
          <w:szCs w:val="24"/>
        </w:rPr>
        <w:t>peut observer une augmentation du taux d'ammoniac (</w:t>
      </w:r>
      <w:r w:rsidRPr="00496C4F">
        <w:rPr>
          <w:rFonts w:ascii="Times New Roman" w:hAnsi="Times New Roman" w:cs="Times New Roman"/>
          <w:i/>
          <w:sz w:val="24"/>
          <w:szCs w:val="24"/>
        </w:rPr>
        <w:t>hyperammoniémie</w:t>
      </w:r>
      <w:r w:rsidRPr="00496C4F">
        <w:rPr>
          <w:rFonts w:ascii="Times New Roman" w:hAnsi="Times New Roman" w:cs="Times New Roman"/>
          <w:sz w:val="24"/>
          <w:szCs w:val="24"/>
        </w:rPr>
        <w:t>) avec alcalose métabolique et, à un stade plus avancé</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une encéphalopathie ammoniacale.  Il a été démontré qu'en cas d'insuffisance hépatique, le processus de synthèse de l'urée est affecté lorsque la lésion hépatique touche environ 80 à 85 % du tissu parenchymateux total. La conclusion finale est donc que la diminution de la synthèse de l'urée est caractéristique du stade avancé de l'insuffisance hépatique.</w:t>
      </w:r>
    </w:p>
    <w:p w14:paraId="1161F04E" w14:textId="77777777" w:rsidR="006763CC" w:rsidRPr="00496C4F" w:rsidRDefault="006763CC" w:rsidP="006763CC">
      <w:pPr>
        <w:autoSpaceDE w:val="0"/>
        <w:autoSpaceDN w:val="0"/>
        <w:adjustRightInd w:val="0"/>
        <w:spacing w:after="0"/>
        <w:ind w:firstLine="720"/>
        <w:jc w:val="both"/>
        <w:rPr>
          <w:rFonts w:ascii="Times New Roman" w:hAnsi="Times New Roman" w:cs="Times New Roman"/>
          <w:sz w:val="24"/>
          <w:szCs w:val="24"/>
        </w:rPr>
      </w:pPr>
      <w:r w:rsidRPr="006763CC">
        <w:rPr>
          <w:rFonts w:ascii="Times New Roman" w:hAnsi="Times New Roman" w:cs="Times New Roman"/>
          <w:i/>
          <w:sz w:val="24"/>
          <w:szCs w:val="24"/>
        </w:rPr>
        <w:t xml:space="preserve">Les modifications </w:t>
      </w:r>
      <w:r w:rsidR="00496C4F">
        <w:rPr>
          <w:rFonts w:ascii="Times New Roman" w:hAnsi="Times New Roman" w:cs="Times New Roman"/>
          <w:i/>
          <w:sz w:val="24"/>
          <w:szCs w:val="24"/>
        </w:rPr>
        <w:t>du métabolisme</w:t>
      </w:r>
      <w:r w:rsidRPr="006763CC">
        <w:rPr>
          <w:rFonts w:ascii="Times New Roman" w:hAnsi="Times New Roman" w:cs="Times New Roman"/>
          <w:i/>
          <w:sz w:val="24"/>
          <w:szCs w:val="24"/>
        </w:rPr>
        <w:t xml:space="preserve"> des glucides </w:t>
      </w:r>
      <w:r w:rsidRPr="00496C4F">
        <w:rPr>
          <w:rFonts w:ascii="Times New Roman" w:hAnsi="Times New Roman" w:cs="Times New Roman"/>
          <w:sz w:val="24"/>
          <w:szCs w:val="24"/>
        </w:rPr>
        <w:t xml:space="preserve">dans l'insuffisance hépatique concernent </w:t>
      </w:r>
      <w:r w:rsidR="00496C4F">
        <w:rPr>
          <w:rFonts w:ascii="Times New Roman" w:hAnsi="Times New Roman" w:cs="Times New Roman"/>
          <w:sz w:val="24"/>
          <w:szCs w:val="24"/>
        </w:rPr>
        <w:t xml:space="preserve">les modifications de </w:t>
      </w:r>
      <w:r w:rsidRPr="00496C4F">
        <w:rPr>
          <w:rFonts w:ascii="Times New Roman" w:hAnsi="Times New Roman" w:cs="Times New Roman"/>
          <w:sz w:val="24"/>
          <w:szCs w:val="24"/>
        </w:rPr>
        <w:t>la glycogénogenèse,</w:t>
      </w:r>
      <w:r w:rsidR="00496C4F">
        <w:rPr>
          <w:rFonts w:ascii="Times New Roman" w:hAnsi="Times New Roman" w:cs="Times New Roman"/>
          <w:sz w:val="24"/>
          <w:szCs w:val="24"/>
        </w:rPr>
        <w:t xml:space="preserve"> de </w:t>
      </w:r>
      <w:r w:rsidRPr="00496C4F">
        <w:rPr>
          <w:rFonts w:ascii="Times New Roman" w:hAnsi="Times New Roman" w:cs="Times New Roman"/>
          <w:sz w:val="24"/>
          <w:szCs w:val="24"/>
        </w:rPr>
        <w:t xml:space="preserve">la glycogénolyse, </w:t>
      </w:r>
      <w:r w:rsidR="00496C4F">
        <w:rPr>
          <w:rFonts w:ascii="Times New Roman" w:hAnsi="Times New Roman" w:cs="Times New Roman"/>
          <w:sz w:val="24"/>
          <w:szCs w:val="24"/>
        </w:rPr>
        <w:t xml:space="preserve">de </w:t>
      </w:r>
      <w:r w:rsidRPr="00496C4F">
        <w:rPr>
          <w:rFonts w:ascii="Times New Roman" w:hAnsi="Times New Roman" w:cs="Times New Roman"/>
          <w:sz w:val="24"/>
          <w:szCs w:val="24"/>
        </w:rPr>
        <w:t xml:space="preserve">la glycolyse et </w:t>
      </w:r>
      <w:r w:rsidR="00496C4F">
        <w:rPr>
          <w:rFonts w:ascii="Times New Roman" w:hAnsi="Times New Roman" w:cs="Times New Roman"/>
          <w:sz w:val="24"/>
          <w:szCs w:val="24"/>
        </w:rPr>
        <w:t xml:space="preserve">de </w:t>
      </w:r>
      <w:r w:rsidRPr="00496C4F">
        <w:rPr>
          <w:rFonts w:ascii="Times New Roman" w:hAnsi="Times New Roman" w:cs="Times New Roman"/>
          <w:sz w:val="24"/>
          <w:szCs w:val="24"/>
        </w:rPr>
        <w:t>la néoglucogenèse dans le foie.</w:t>
      </w:r>
    </w:p>
    <w:p w14:paraId="754C92C2" w14:textId="77777777" w:rsidR="001839BD" w:rsidRDefault="006763CC" w:rsidP="00D526F8">
      <w:pPr>
        <w:ind w:firstLine="708"/>
        <w:jc w:val="both"/>
        <w:rPr>
          <w:rFonts w:ascii="Times New Roman" w:hAnsi="Times New Roman" w:cs="Times New Roman"/>
          <w:sz w:val="24"/>
          <w:szCs w:val="24"/>
        </w:rPr>
      </w:pPr>
      <w:r w:rsidRPr="00496C4F">
        <w:rPr>
          <w:rFonts w:ascii="Times New Roman" w:hAnsi="Times New Roman" w:cs="Times New Roman"/>
          <w:sz w:val="24"/>
          <w:szCs w:val="24"/>
        </w:rPr>
        <w:t xml:space="preserve">La glycogénogenèse est le premier processus énergétique affecté en cas d'insuffisance hépatique. Il a été établi que toute lésion hépatocytaire est associée à une déstabilisation de la membrane cellulaire et que cette lésion entraîne une augmentation </w:t>
      </w:r>
      <w:r w:rsidR="00496C4F">
        <w:rPr>
          <w:rFonts w:ascii="Times New Roman" w:hAnsi="Times New Roman" w:cs="Times New Roman"/>
          <w:sz w:val="24"/>
          <w:szCs w:val="24"/>
        </w:rPr>
        <w:t xml:space="preserve">de la perméabilité de la membrane mitochondriale. </w:t>
      </w:r>
      <w:r w:rsidRPr="00496C4F">
        <w:rPr>
          <w:rFonts w:ascii="Times New Roman" w:hAnsi="Times New Roman" w:cs="Times New Roman"/>
          <w:sz w:val="24"/>
          <w:szCs w:val="24"/>
        </w:rPr>
        <w:t>Cette dernière contribue à l'afflux d'ions Ca</w:t>
      </w:r>
      <w:r w:rsidR="0031111B" w:rsidRPr="0031111B">
        <w:rPr>
          <w:rFonts w:ascii="Times New Roman" w:hAnsi="Times New Roman" w:cs="Times New Roman"/>
          <w:sz w:val="24"/>
          <w:szCs w:val="24"/>
          <w:vertAlign w:val="superscript"/>
        </w:rPr>
        <w:t>2</w:t>
      </w:r>
      <w:r w:rsidRPr="0031111B">
        <w:rPr>
          <w:rFonts w:ascii="Times New Roman" w:hAnsi="Times New Roman" w:cs="Times New Roman"/>
          <w:sz w:val="24"/>
          <w:szCs w:val="24"/>
          <w:vertAlign w:val="superscript"/>
        </w:rPr>
        <w:t>+</w:t>
      </w:r>
      <w:r w:rsidRPr="00496C4F">
        <w:rPr>
          <w:rFonts w:ascii="Times New Roman" w:hAnsi="Times New Roman" w:cs="Times New Roman"/>
          <w:sz w:val="24"/>
          <w:szCs w:val="24"/>
        </w:rPr>
        <w:t xml:space="preserve">  dans les mitochondries avec inhibition de </w:t>
      </w:r>
      <w:r w:rsidR="00496C4F" w:rsidRPr="00496C4F">
        <w:rPr>
          <w:rFonts w:ascii="Times New Roman" w:hAnsi="Times New Roman" w:cs="Times New Roman"/>
          <w:sz w:val="24"/>
          <w:szCs w:val="24"/>
        </w:rPr>
        <w:t>la phosphorylation</w:t>
      </w:r>
      <w:r w:rsidRPr="00496C4F">
        <w:rPr>
          <w:rFonts w:ascii="Times New Roman" w:hAnsi="Times New Roman" w:cs="Times New Roman"/>
          <w:sz w:val="24"/>
          <w:szCs w:val="24"/>
        </w:rPr>
        <w:t xml:space="preserve"> oxydative, ce qui contribue finalement à une réduction de la production d'ATP et à une diminution de la synthèse du glycogène dans le foie.</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La glycogénolyse dans l'insuffisance hépatique est augmentée en raison de l'hypoxie et de l'acidose. L'intensification de la glycogénolyse entraîne l'épuisement des réserves de glycogène dans le foie</w:t>
      </w:r>
      <w:r w:rsidR="006B49F1">
        <w:rPr>
          <w:rFonts w:ascii="Times New Roman" w:hAnsi="Times New Roman" w:cs="Times New Roman"/>
          <w:sz w:val="24"/>
          <w:szCs w:val="24"/>
        </w:rPr>
        <w:t xml:space="preserve">. </w:t>
      </w:r>
      <w:r w:rsidRPr="00496C4F">
        <w:rPr>
          <w:rFonts w:ascii="Times New Roman" w:hAnsi="Times New Roman" w:cs="Times New Roman"/>
          <w:sz w:val="24"/>
          <w:szCs w:val="24"/>
        </w:rPr>
        <w:t xml:space="preserve">La gluconéogenèse dans l'insuffisance hépatique est réduite en raison de l'hypoxie. </w:t>
      </w:r>
    </w:p>
    <w:p w14:paraId="15A7260C" w14:textId="77777777" w:rsidR="001839BD" w:rsidRDefault="0031111B" w:rsidP="00D526F8">
      <w:pPr>
        <w:ind w:firstLine="708"/>
        <w:jc w:val="both"/>
        <w:rPr>
          <w:rFonts w:ascii="Times New Roman" w:hAnsi="Times New Roman" w:cs="Times New Roman"/>
          <w:sz w:val="24"/>
          <w:szCs w:val="24"/>
        </w:rPr>
      </w:pPr>
      <w:r w:rsidRPr="00472FF1">
        <w:rPr>
          <w:rFonts w:ascii="Times New Roman" w:hAnsi="Times New Roman" w:cs="Times New Roman"/>
          <w:sz w:val="24"/>
          <w:szCs w:val="24"/>
        </w:rPr>
        <w:t>En cas d'insuffisance hépatique</w:t>
      </w:r>
      <w:r w:rsidR="009D71AD">
        <w:rPr>
          <w:rFonts w:ascii="Times New Roman" w:hAnsi="Times New Roman" w:cs="Times New Roman"/>
          <w:sz w:val="24"/>
          <w:szCs w:val="24"/>
        </w:rPr>
        <w:t xml:space="preserve">, </w:t>
      </w:r>
      <w:r w:rsidRPr="00472FF1">
        <w:rPr>
          <w:rFonts w:ascii="Times New Roman" w:hAnsi="Times New Roman" w:cs="Times New Roman"/>
          <w:sz w:val="24"/>
          <w:szCs w:val="24"/>
        </w:rPr>
        <w:t xml:space="preserve">après l'ingestion de glucose, une hyperglycémie exagérée se développe, avec un retour tardif à la valeur normale de la glycémie. L'hyperglycémie alimentaire stimule la sécrétion d'insuline qui, en </w:t>
      </w:r>
      <w:r w:rsidR="001839BD">
        <w:rPr>
          <w:rFonts w:ascii="Times New Roman" w:hAnsi="Times New Roman" w:cs="Times New Roman"/>
          <w:sz w:val="24"/>
          <w:szCs w:val="24"/>
        </w:rPr>
        <w:t xml:space="preserve">cas d'insuffisance des hépatocytes, </w:t>
      </w:r>
      <w:r w:rsidRPr="00472FF1">
        <w:rPr>
          <w:rFonts w:ascii="Times New Roman" w:hAnsi="Times New Roman" w:cs="Times New Roman"/>
          <w:sz w:val="24"/>
          <w:szCs w:val="24"/>
        </w:rPr>
        <w:t xml:space="preserve">n'assure pas la synthèse et le stockage du glycogène dans le foie et ne réduit pas l'hyperglycémie. Une hyperglycémie exagérée peut induire </w:t>
      </w:r>
      <w:r w:rsidRPr="009D71AD">
        <w:rPr>
          <w:rFonts w:ascii="Times New Roman" w:hAnsi="Times New Roman" w:cs="Times New Roman"/>
          <w:sz w:val="24"/>
          <w:szCs w:val="24"/>
        </w:rPr>
        <w:t>une glycosurie</w:t>
      </w:r>
      <w:r w:rsidRPr="00472FF1">
        <w:rPr>
          <w:rFonts w:ascii="Times New Roman" w:hAnsi="Times New Roman" w:cs="Times New Roman"/>
          <w:sz w:val="24"/>
          <w:szCs w:val="24"/>
        </w:rPr>
        <w:t>. À l'inverse, entre les repas</w:t>
      </w:r>
      <w:r>
        <w:rPr>
          <w:rFonts w:ascii="Times New Roman" w:hAnsi="Times New Roman" w:cs="Times New Roman"/>
          <w:sz w:val="24"/>
          <w:szCs w:val="24"/>
        </w:rPr>
        <w:t xml:space="preserve">, </w:t>
      </w:r>
      <w:r w:rsidRPr="00472FF1">
        <w:rPr>
          <w:rFonts w:ascii="Times New Roman" w:hAnsi="Times New Roman" w:cs="Times New Roman"/>
          <w:sz w:val="24"/>
          <w:szCs w:val="24"/>
        </w:rPr>
        <w:t xml:space="preserve">le manque de glycogène dans le foie et son incapacité à effectuer la gluconéogenèse de manière </w:t>
      </w:r>
      <w:r>
        <w:rPr>
          <w:rFonts w:ascii="Times New Roman" w:hAnsi="Times New Roman" w:cs="Times New Roman"/>
          <w:sz w:val="24"/>
          <w:szCs w:val="24"/>
        </w:rPr>
        <w:t xml:space="preserve">e </w:t>
      </w:r>
      <w:r w:rsidRPr="00472FF1">
        <w:rPr>
          <w:rFonts w:ascii="Times New Roman" w:hAnsi="Times New Roman" w:cs="Times New Roman"/>
          <w:sz w:val="24"/>
          <w:szCs w:val="24"/>
        </w:rPr>
        <w:t>font persister l'hypoglycémie</w:t>
      </w:r>
      <w:r w:rsidR="009D71AD">
        <w:rPr>
          <w:rFonts w:ascii="Times New Roman" w:hAnsi="Times New Roman" w:cs="Times New Roman"/>
          <w:sz w:val="24"/>
          <w:szCs w:val="24"/>
        </w:rPr>
        <w:t xml:space="preserve">, </w:t>
      </w:r>
      <w:r w:rsidRPr="00472FF1">
        <w:rPr>
          <w:rFonts w:ascii="Times New Roman" w:hAnsi="Times New Roman" w:cs="Times New Roman"/>
          <w:sz w:val="24"/>
          <w:szCs w:val="24"/>
        </w:rPr>
        <w:t>avec des symptômes cliniques caractéristiques : asthénie nerveuse et musculaire, faiblesse, tremblements.</w:t>
      </w:r>
      <w:r>
        <w:rPr>
          <w:rFonts w:ascii="Times New Roman" w:hAnsi="Times New Roman" w:cs="Times New Roman"/>
          <w:sz w:val="24"/>
          <w:szCs w:val="24"/>
        </w:rPr>
        <w:t xml:space="preserve"> </w:t>
      </w:r>
      <w:r w:rsidRPr="00472FF1">
        <w:rPr>
          <w:rFonts w:ascii="Times New Roman" w:hAnsi="Times New Roman" w:cs="Times New Roman"/>
          <w:sz w:val="24"/>
          <w:szCs w:val="24"/>
        </w:rPr>
        <w:t xml:space="preserve">Une hypoglycémie </w:t>
      </w:r>
      <w:r>
        <w:rPr>
          <w:rFonts w:ascii="Times New Roman" w:hAnsi="Times New Roman" w:cs="Times New Roman"/>
          <w:sz w:val="24"/>
          <w:szCs w:val="24"/>
        </w:rPr>
        <w:t xml:space="preserve">sévère </w:t>
      </w:r>
      <w:r w:rsidRPr="00472FF1">
        <w:rPr>
          <w:rFonts w:ascii="Times New Roman" w:hAnsi="Times New Roman" w:cs="Times New Roman"/>
          <w:sz w:val="24"/>
          <w:szCs w:val="24"/>
        </w:rPr>
        <w:t xml:space="preserve">induit une réaction </w:t>
      </w:r>
      <w:r w:rsidR="006B49F1">
        <w:rPr>
          <w:rFonts w:ascii="Times New Roman" w:hAnsi="Times New Roman" w:cs="Times New Roman"/>
          <w:sz w:val="24"/>
          <w:szCs w:val="24"/>
        </w:rPr>
        <w:t xml:space="preserve">du </w:t>
      </w:r>
      <w:r w:rsidRPr="00472FF1">
        <w:rPr>
          <w:rFonts w:ascii="Times New Roman" w:hAnsi="Times New Roman" w:cs="Times New Roman"/>
          <w:sz w:val="24"/>
          <w:szCs w:val="24"/>
        </w:rPr>
        <w:t xml:space="preserve">système nerveux et du système endocrinien : excitation du système nerveux sympathique, augmentation de la sécrétion de catécholamines par la médullosurrénale, </w:t>
      </w:r>
      <w:r>
        <w:rPr>
          <w:rFonts w:ascii="Times New Roman" w:hAnsi="Times New Roman" w:cs="Times New Roman"/>
          <w:sz w:val="24"/>
          <w:szCs w:val="24"/>
        </w:rPr>
        <w:t xml:space="preserve">augmentation de la sécrétion de glucocorticoïdes et </w:t>
      </w:r>
      <w:r w:rsidRPr="00472FF1">
        <w:rPr>
          <w:rFonts w:ascii="Times New Roman" w:hAnsi="Times New Roman" w:cs="Times New Roman"/>
          <w:sz w:val="24"/>
          <w:szCs w:val="24"/>
        </w:rPr>
        <w:t>de glucagon par le pancréas endocrine. Ces réactions, associées à l'épuisement du glycogène dans le foie, stimulent la lipolyse dans le tissu adipeux, la libération d'acides gras libres dans le sang et le développement d</w:t>
      </w:r>
      <w:r w:rsidRPr="009D71AD">
        <w:rPr>
          <w:rFonts w:ascii="Times New Roman" w:hAnsi="Times New Roman" w:cs="Times New Roman"/>
          <w:sz w:val="24"/>
          <w:szCs w:val="24"/>
        </w:rPr>
        <w:t xml:space="preserve">'une hyperlipidémie de transport </w:t>
      </w:r>
      <w:r w:rsidRPr="00472FF1">
        <w:rPr>
          <w:rFonts w:ascii="Times New Roman" w:hAnsi="Times New Roman" w:cs="Times New Roman"/>
          <w:sz w:val="24"/>
          <w:szCs w:val="24"/>
        </w:rPr>
        <w:t xml:space="preserve">avec </w:t>
      </w:r>
      <w:r w:rsidR="009D71AD">
        <w:rPr>
          <w:rFonts w:ascii="Times New Roman" w:hAnsi="Times New Roman" w:cs="Times New Roman"/>
          <w:sz w:val="24"/>
          <w:szCs w:val="24"/>
        </w:rPr>
        <w:t>des lipoprotéines de haute densité</w:t>
      </w:r>
      <w:r w:rsidRPr="00472FF1">
        <w:rPr>
          <w:rFonts w:ascii="Times New Roman" w:hAnsi="Times New Roman" w:cs="Times New Roman"/>
          <w:sz w:val="24"/>
          <w:szCs w:val="24"/>
        </w:rPr>
        <w:t xml:space="preserve">. En raison de l'incapacité du foie à synthétiser les protéines qui transportent les lipides </w:t>
      </w:r>
      <w:r>
        <w:rPr>
          <w:rFonts w:ascii="Times New Roman" w:hAnsi="Times New Roman" w:cs="Times New Roman"/>
          <w:sz w:val="24"/>
          <w:szCs w:val="24"/>
        </w:rPr>
        <w:t>(apoprotéines)</w:t>
      </w:r>
      <w:r w:rsidRPr="00472FF1">
        <w:rPr>
          <w:rFonts w:ascii="Times New Roman" w:hAnsi="Times New Roman" w:cs="Times New Roman"/>
          <w:sz w:val="24"/>
          <w:szCs w:val="24"/>
        </w:rPr>
        <w:t xml:space="preserve">, l'hyperlipidémie de transport est associée à </w:t>
      </w:r>
      <w:r w:rsidRPr="009D71AD">
        <w:rPr>
          <w:rFonts w:ascii="Times New Roman" w:hAnsi="Times New Roman" w:cs="Times New Roman"/>
          <w:sz w:val="24"/>
          <w:szCs w:val="24"/>
        </w:rPr>
        <w:t>une hyperlipidémie de rétention</w:t>
      </w:r>
      <w:r w:rsidRPr="00472FF1">
        <w:rPr>
          <w:rFonts w:ascii="Times New Roman" w:hAnsi="Times New Roman" w:cs="Times New Roman"/>
          <w:sz w:val="24"/>
          <w:szCs w:val="24"/>
        </w:rPr>
        <w:t xml:space="preserve">.  L'hyperlipidémie entraîne une infiltration graisseuse et une dystrophie du foie, qui affectent </w:t>
      </w:r>
      <w:r>
        <w:rPr>
          <w:rFonts w:ascii="Times New Roman" w:hAnsi="Times New Roman" w:cs="Times New Roman"/>
          <w:sz w:val="24"/>
          <w:szCs w:val="24"/>
        </w:rPr>
        <w:t xml:space="preserve">finalement </w:t>
      </w:r>
      <w:r w:rsidRPr="00472FF1">
        <w:rPr>
          <w:rFonts w:ascii="Times New Roman" w:hAnsi="Times New Roman" w:cs="Times New Roman"/>
          <w:sz w:val="24"/>
          <w:szCs w:val="24"/>
        </w:rPr>
        <w:t xml:space="preserve">davantage </w:t>
      </w:r>
      <w:r>
        <w:rPr>
          <w:rFonts w:ascii="Times New Roman" w:hAnsi="Times New Roman" w:cs="Times New Roman"/>
          <w:sz w:val="24"/>
          <w:szCs w:val="24"/>
        </w:rPr>
        <w:t xml:space="preserve">les </w:t>
      </w:r>
      <w:r w:rsidRPr="00472FF1">
        <w:rPr>
          <w:rFonts w:ascii="Times New Roman" w:hAnsi="Times New Roman" w:cs="Times New Roman"/>
          <w:sz w:val="24"/>
          <w:szCs w:val="24"/>
        </w:rPr>
        <w:t xml:space="preserve">hépatocytes - à ce stade, la chaîne pathogène est bouclée - troubles hépatiques primaires - épuisement du glycogène dans le foie - hyperlipidémie - dystrophie graisseuse du foie - troubles du métabolisme dans le foie. </w:t>
      </w:r>
    </w:p>
    <w:p w14:paraId="486B60B8" w14:textId="77777777" w:rsidR="004F610D" w:rsidRDefault="004F610D" w:rsidP="00B843A2">
      <w:pPr>
        <w:ind w:firstLine="708"/>
        <w:jc w:val="both"/>
        <w:rPr>
          <w:rFonts w:ascii="Times New Roman" w:hAnsi="Times New Roman" w:cs="Times New Roman"/>
          <w:sz w:val="24"/>
          <w:szCs w:val="24"/>
        </w:rPr>
      </w:pPr>
      <w:r>
        <w:rPr>
          <w:rFonts w:ascii="Times New Roman" w:hAnsi="Times New Roman" w:cs="Times New Roman"/>
          <w:sz w:val="24"/>
          <w:szCs w:val="24"/>
        </w:rPr>
        <w:t xml:space="preserve">L'hypoglycémie chez le patient atteint d'insuffisance hépatique est également due à une augmentation du taux d'insuline dans le sang (hyperinsulinisme). L'augmentation du taux d'insuline dans le sang peut s'expliquer par une moindre inactivation de l'insuline lors de son premier passage dans le foie (dans des conditions normales, 40 % de l'insuline libérée par les cellules bêta du pancréas lors de son premier passage dans le foie est inactivée) et par une augmentation de la libération d'insuline par le pancréas en réponse à l'hyperaminoacidémie. </w:t>
      </w:r>
    </w:p>
    <w:p w14:paraId="5A6A3BD3" w14:textId="77777777" w:rsidR="006763CC" w:rsidRDefault="006763CC" w:rsidP="00D526F8">
      <w:pPr>
        <w:ind w:firstLine="708"/>
        <w:jc w:val="both"/>
        <w:rPr>
          <w:rFonts w:ascii="Times New Roman" w:hAnsi="Times New Roman" w:cs="Times New Roman"/>
          <w:sz w:val="24"/>
          <w:szCs w:val="24"/>
        </w:rPr>
      </w:pPr>
      <w:r w:rsidRPr="00496C4F">
        <w:rPr>
          <w:rFonts w:ascii="Times New Roman" w:hAnsi="Times New Roman" w:cs="Times New Roman"/>
          <w:sz w:val="24"/>
          <w:szCs w:val="24"/>
        </w:rPr>
        <w:t xml:space="preserve">Il a été établi que l'hypoxie détourne l'utilisation de l'acide </w:t>
      </w:r>
      <w:r w:rsidR="00496C4F" w:rsidRPr="00496C4F">
        <w:rPr>
          <w:rFonts w:ascii="Times New Roman" w:hAnsi="Times New Roman" w:cs="Times New Roman"/>
          <w:sz w:val="24"/>
          <w:szCs w:val="24"/>
        </w:rPr>
        <w:t xml:space="preserve">pyruvique </w:t>
      </w:r>
      <w:r w:rsidRPr="00496C4F">
        <w:rPr>
          <w:rFonts w:ascii="Times New Roman" w:hAnsi="Times New Roman" w:cs="Times New Roman"/>
          <w:sz w:val="24"/>
          <w:szCs w:val="24"/>
        </w:rPr>
        <w:t>dans le cycle de Krebs vers une surproduction d'acide lactique. Les hépatocytes endommagés ne sont pas capables de transformer l'acide lactique en glycogène, ce qui entraîne une augmentation de la concentration d'acide lactique dans le sang (</w:t>
      </w:r>
      <w:r w:rsidRPr="00496C4F">
        <w:rPr>
          <w:rFonts w:ascii="Times New Roman" w:hAnsi="Times New Roman" w:cs="Times New Roman"/>
          <w:i/>
          <w:sz w:val="24"/>
          <w:szCs w:val="24"/>
        </w:rPr>
        <w:t>lactacidémie</w:t>
      </w:r>
      <w:r w:rsidRPr="00496C4F">
        <w:rPr>
          <w:rFonts w:ascii="Times New Roman" w:hAnsi="Times New Roman" w:cs="Times New Roman"/>
          <w:sz w:val="24"/>
          <w:szCs w:val="24"/>
        </w:rPr>
        <w:t>)</w:t>
      </w:r>
      <w:r w:rsidR="006028AC">
        <w:rPr>
          <w:rFonts w:ascii="Times New Roman" w:hAnsi="Times New Roman" w:cs="Times New Roman"/>
          <w:sz w:val="24"/>
          <w:szCs w:val="24"/>
        </w:rPr>
        <w:t>.</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En cas d'insuffisance hépatique, la glycolyse, en raison de l'hypoxie</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 xml:space="preserve">s'arrête au stade de l'acide </w:t>
      </w:r>
      <w:r w:rsidR="00496C4F" w:rsidRPr="00496C4F">
        <w:rPr>
          <w:rFonts w:ascii="Times New Roman" w:hAnsi="Times New Roman" w:cs="Times New Roman"/>
          <w:sz w:val="24"/>
          <w:szCs w:val="24"/>
        </w:rPr>
        <w:t>pyruvique</w:t>
      </w:r>
      <w:r w:rsidRPr="00496C4F">
        <w:rPr>
          <w:rFonts w:ascii="Times New Roman" w:hAnsi="Times New Roman" w:cs="Times New Roman"/>
          <w:sz w:val="24"/>
          <w:szCs w:val="24"/>
        </w:rPr>
        <w:t xml:space="preserve">. </w:t>
      </w:r>
      <w:r w:rsidR="00496C4F" w:rsidRPr="00496C4F">
        <w:rPr>
          <w:rFonts w:ascii="Times New Roman" w:hAnsi="Times New Roman" w:cs="Times New Roman"/>
          <w:sz w:val="24"/>
          <w:szCs w:val="24"/>
        </w:rPr>
        <w:t xml:space="preserve">Le pyruvate </w:t>
      </w:r>
      <w:r w:rsidR="00496C4F">
        <w:rPr>
          <w:rFonts w:ascii="Times New Roman" w:hAnsi="Times New Roman" w:cs="Times New Roman"/>
          <w:sz w:val="24"/>
          <w:szCs w:val="24"/>
        </w:rPr>
        <w:t>s'accumule dans le sang (</w:t>
      </w:r>
      <w:r w:rsidRPr="00496C4F">
        <w:rPr>
          <w:rFonts w:ascii="Times New Roman" w:hAnsi="Times New Roman" w:cs="Times New Roman"/>
          <w:i/>
          <w:sz w:val="24"/>
          <w:szCs w:val="24"/>
        </w:rPr>
        <w:t>pyruvémie</w:t>
      </w:r>
      <w:r w:rsidR="00051B5F">
        <w:rPr>
          <w:rFonts w:ascii="Times New Roman" w:hAnsi="Times New Roman" w:cs="Times New Roman"/>
          <w:sz w:val="24"/>
          <w:szCs w:val="24"/>
        </w:rPr>
        <w:t xml:space="preserve">). </w:t>
      </w:r>
      <w:r w:rsidRPr="00496C4F">
        <w:rPr>
          <w:rFonts w:ascii="Times New Roman" w:hAnsi="Times New Roman" w:cs="Times New Roman"/>
          <w:sz w:val="24"/>
          <w:szCs w:val="24"/>
        </w:rPr>
        <w:t xml:space="preserve">Le foie n'est pas capable d'utiliser l'acide </w:t>
      </w:r>
      <w:r w:rsidR="00496C4F" w:rsidRPr="00496C4F">
        <w:rPr>
          <w:rFonts w:ascii="Times New Roman" w:hAnsi="Times New Roman" w:cs="Times New Roman"/>
          <w:sz w:val="24"/>
          <w:szCs w:val="24"/>
        </w:rPr>
        <w:t xml:space="preserve">pyruvique </w:t>
      </w:r>
      <w:r w:rsidRPr="00496C4F">
        <w:rPr>
          <w:rFonts w:ascii="Times New Roman" w:hAnsi="Times New Roman" w:cs="Times New Roman"/>
          <w:sz w:val="24"/>
          <w:szCs w:val="24"/>
        </w:rPr>
        <w:t xml:space="preserve">dans le cycle de Krebs. Ainsi, l'augmentation de la concentration d'acide lactique et </w:t>
      </w:r>
      <w:r w:rsidR="00496C4F" w:rsidRPr="00496C4F">
        <w:rPr>
          <w:rFonts w:ascii="Times New Roman" w:hAnsi="Times New Roman" w:cs="Times New Roman"/>
          <w:sz w:val="24"/>
          <w:szCs w:val="24"/>
        </w:rPr>
        <w:t xml:space="preserve">pyruvique </w:t>
      </w:r>
      <w:r w:rsidR="00484FB0">
        <w:rPr>
          <w:rFonts w:ascii="Times New Roman" w:hAnsi="Times New Roman" w:cs="Times New Roman"/>
          <w:sz w:val="24"/>
          <w:szCs w:val="24"/>
        </w:rPr>
        <w:t xml:space="preserve">explique </w:t>
      </w:r>
      <w:r w:rsidRPr="00496C4F">
        <w:rPr>
          <w:rFonts w:ascii="Times New Roman" w:hAnsi="Times New Roman" w:cs="Times New Roman"/>
          <w:sz w:val="24"/>
          <w:szCs w:val="24"/>
        </w:rPr>
        <w:t>l'acidose métabolique qui se développe au stade avancé (stade terminal) de l'insuffisance hépatique.</w:t>
      </w:r>
    </w:p>
    <w:p w14:paraId="3885E458" w14:textId="77777777" w:rsidR="004F610D" w:rsidRPr="00496C4F" w:rsidRDefault="004F610D" w:rsidP="00D526F8">
      <w:pPr>
        <w:ind w:firstLine="708"/>
        <w:jc w:val="both"/>
        <w:rPr>
          <w:rFonts w:ascii="Times New Roman" w:hAnsi="Times New Roman" w:cs="Times New Roman"/>
          <w:sz w:val="24"/>
          <w:szCs w:val="24"/>
        </w:rPr>
      </w:pPr>
      <w:r>
        <w:rPr>
          <w:rFonts w:ascii="Times New Roman" w:hAnsi="Times New Roman" w:cs="Times New Roman"/>
          <w:sz w:val="24"/>
          <w:szCs w:val="24"/>
        </w:rPr>
        <w:t>En cas d'insuffisance hépatique, la conversion du galactose en glucose dans le foie est altérée, ce qui entraîne une galactosémie et une galactosurie.</w:t>
      </w:r>
    </w:p>
    <w:p w14:paraId="0395E3E2" w14:textId="77777777" w:rsidR="006763CC" w:rsidRDefault="006763CC" w:rsidP="0067084F">
      <w:pPr>
        <w:autoSpaceDE w:val="0"/>
        <w:autoSpaceDN w:val="0"/>
        <w:adjustRightInd w:val="0"/>
        <w:spacing w:after="0"/>
        <w:ind w:firstLine="708"/>
        <w:jc w:val="both"/>
        <w:rPr>
          <w:rFonts w:ascii="Times New Roman" w:hAnsi="Times New Roman" w:cs="Times New Roman"/>
          <w:i/>
          <w:sz w:val="24"/>
          <w:szCs w:val="24"/>
        </w:rPr>
      </w:pPr>
      <w:r w:rsidRPr="006763CC">
        <w:rPr>
          <w:rFonts w:ascii="Times New Roman" w:hAnsi="Times New Roman" w:cs="Times New Roman"/>
          <w:i/>
          <w:sz w:val="24"/>
          <w:szCs w:val="24"/>
        </w:rPr>
        <w:t xml:space="preserve">  Troubles du métabolisme lipidique </w:t>
      </w:r>
    </w:p>
    <w:p w14:paraId="2853F566" w14:textId="77777777" w:rsidR="005E55E6" w:rsidRDefault="005E55E6" w:rsidP="005E55E6">
      <w:pPr>
        <w:ind w:firstLine="720"/>
        <w:jc w:val="both"/>
        <w:rPr>
          <w:rFonts w:ascii="Times New Roman" w:hAnsi="Times New Roman" w:cs="Times New Roman"/>
          <w:sz w:val="24"/>
          <w:szCs w:val="24"/>
        </w:rPr>
      </w:pPr>
      <w:r>
        <w:rPr>
          <w:rFonts w:ascii="Times New Roman" w:hAnsi="Times New Roman" w:cs="Times New Roman"/>
          <w:sz w:val="24"/>
          <w:szCs w:val="24"/>
        </w:rPr>
        <w:t>Les lipides représentent 5 % du poids du foie. En cas d'insuffisance hépatique, on observe une charge graisseuse caractéristique du foie (stéatose) due à l'accumulation de triglycérides dans les hépatocytes. Cela s'explique par le fait que la libération des triglycérides par le foie se fait sous forme de lipoprotéines. En cas d'insuffisance hépatique, on observe une diminution de la synthèse des apoprotéines dans le foie, ainsi que des perturbations dans le couplage des lipides avec les apoprotéines dans les hépatocytes, ce qui empêche les lipides de sortir du foie</w:t>
      </w:r>
      <w:r w:rsidRPr="005E55E6">
        <w:rPr>
          <w:rFonts w:ascii="Times New Roman" w:hAnsi="Times New Roman" w:cs="Times New Roman"/>
          <w:sz w:val="24"/>
          <w:szCs w:val="24"/>
        </w:rPr>
        <w:t>.</w:t>
      </w:r>
      <w:r>
        <w:rPr>
          <w:rFonts w:ascii="Times New Roman" w:hAnsi="Times New Roman" w:cs="Times New Roman"/>
          <w:sz w:val="24"/>
          <w:szCs w:val="24"/>
        </w:rPr>
        <w:t xml:space="preserve"> Un autre mécanisme d'infiltration graisseuse du </w:t>
      </w:r>
      <w:r w:rsidRPr="005E55E6">
        <w:rPr>
          <w:rFonts w:ascii="Times New Roman" w:hAnsi="Times New Roman" w:cs="Times New Roman"/>
          <w:sz w:val="24"/>
          <w:szCs w:val="24"/>
        </w:rPr>
        <w:t xml:space="preserve">foie est dû à une diminution de la synthèse des phospholipides, avec une production réduite de substances lipotropes et une synthèse réduite des lipoprotéines dans le foie. </w:t>
      </w:r>
    </w:p>
    <w:p w14:paraId="37FA088C" w14:textId="77777777" w:rsidR="00C60312" w:rsidRDefault="005E55E6" w:rsidP="005E55E6">
      <w:pPr>
        <w:pStyle w:val="Titlu1"/>
        <w:spacing w:line="276" w:lineRule="auto"/>
        <w:ind w:firstLine="720"/>
        <w:rPr>
          <w:szCs w:val="24"/>
        </w:rPr>
      </w:pPr>
      <w:r w:rsidRPr="005E55E6">
        <w:rPr>
          <w:szCs w:val="24"/>
        </w:rPr>
        <w:t>En raison de l'incapacité du foie à produire normalement de la bile, les patients atteints d'insuffisance hépatique développent un syndrome de malabsorption et de mauvaise digestion qui perturbe principalement l'absorption des graisses dans le tube gastro-intestinal. On observe un développement caractéristique d'avitaminose résultant d'une malabsorption des vitamines liposolubles (A, D, E, K) provenant des aliments.</w:t>
      </w:r>
    </w:p>
    <w:p w14:paraId="0E26A912" w14:textId="77777777" w:rsidR="00C60312" w:rsidRPr="008542B9" w:rsidRDefault="00C60312" w:rsidP="008542B9">
      <w:pPr>
        <w:autoSpaceDE w:val="0"/>
        <w:autoSpaceDN w:val="0"/>
        <w:adjustRightInd w:val="0"/>
        <w:spacing w:after="0"/>
        <w:ind w:firstLine="720"/>
        <w:jc w:val="both"/>
        <w:rPr>
          <w:rFonts w:ascii="Times New Roman" w:hAnsi="Times New Roman" w:cs="Times New Roman"/>
          <w:sz w:val="24"/>
          <w:szCs w:val="24"/>
        </w:rPr>
      </w:pPr>
      <w:r w:rsidRPr="0047632E">
        <w:rPr>
          <w:rFonts w:ascii="Times New Roman" w:hAnsi="Times New Roman" w:cs="Times New Roman"/>
          <w:i/>
          <w:sz w:val="24"/>
          <w:szCs w:val="24"/>
        </w:rPr>
        <w:t xml:space="preserve">La vitamine A </w:t>
      </w:r>
      <w:r>
        <w:rPr>
          <w:rFonts w:ascii="Times New Roman" w:hAnsi="Times New Roman" w:cs="Times New Roman"/>
          <w:sz w:val="24"/>
          <w:szCs w:val="24"/>
        </w:rPr>
        <w:t xml:space="preserve">est une vitamine liposoluble dont l'absorption nécessite la bile. Le rétinol (généralement ingéré sous forme d'ester de rétinol) et le β-carotène sont absorbés dans l'intestin, où le β-carotène est converti en rétinol par l . Le rétinol est ensuite transporté dans les chylomicrons vers le foie pour être estérifié et stocké. L'absorption dans les cellules hépatiques se fait par le récepteur de l'apolipoprotéine E. Plus de 90 % des réserves de vitamine A de l'organisme sont stockées dans le foie, principalement dans les cellules stellaires périsinusoïdales (Ito). Chez les personnes en bonne santé qui ont une alimentation adéquate, ces réserves sont suffisantes pour répondre aux besoins de l'organisme pendant au moins 6 mois. Les esters de rétinol stockés dans le foie peuvent être mobilisés ; avant d'être libéré, le rétinol se lie à une protéine spécifique de liaison au rétinol (RBP), synthétisée dans le foie. </w:t>
      </w:r>
      <w:r w:rsidR="00AA5CD1">
        <w:rPr>
          <w:rFonts w:ascii="Times New Roman" w:hAnsi="Times New Roman" w:cs="Times New Roman"/>
          <w:sz w:val="24"/>
          <w:szCs w:val="24"/>
        </w:rPr>
        <w:t xml:space="preserve">En cas d'insuffisance hépatique, le métabolisme de la vitamine A est altéré. </w:t>
      </w:r>
      <w:r>
        <w:rPr>
          <w:rFonts w:ascii="Times New Roman" w:hAnsi="Times New Roman" w:cs="Times New Roman"/>
          <w:sz w:val="24"/>
          <w:szCs w:val="24"/>
        </w:rPr>
        <w:t xml:space="preserve">La vitamine A est un composant de </w:t>
      </w:r>
      <w:r w:rsidRPr="00C60312">
        <w:rPr>
          <w:rFonts w:ascii="Times New Roman" w:hAnsi="Times New Roman" w:cs="Times New Roman"/>
          <w:i/>
          <w:sz w:val="24"/>
          <w:szCs w:val="24"/>
        </w:rPr>
        <w:t xml:space="preserve">la rhodopsine </w:t>
      </w:r>
      <w:r>
        <w:rPr>
          <w:rFonts w:ascii="Times New Roman" w:hAnsi="Times New Roman" w:cs="Times New Roman"/>
          <w:sz w:val="24"/>
          <w:szCs w:val="24"/>
        </w:rPr>
        <w:t xml:space="preserve">et d'autres pigments visuels. Il n'est donc pas surprenant que l'une des premières manifestations d'une carence en vitamine A soit une altération de la vision, en particulier dans des conditions de faible luminosité </w:t>
      </w:r>
      <w:r>
        <w:rPr>
          <w:rFonts w:ascii="Times New Roman" w:hAnsi="Times New Roman" w:cs="Times New Roman"/>
          <w:i/>
          <w:iCs/>
          <w:sz w:val="24"/>
          <w:szCs w:val="24"/>
        </w:rPr>
        <w:t>(héméralopie)</w:t>
      </w:r>
      <w:r>
        <w:rPr>
          <w:rFonts w:ascii="Times New Roman" w:hAnsi="Times New Roman" w:cs="Times New Roman"/>
          <w:sz w:val="24"/>
          <w:szCs w:val="24"/>
        </w:rPr>
        <w:t xml:space="preserve">. D'autres effets de la carence sont liés au rôle de la vitamine A dans le maintien de la différenciation des cellules épithéliales. Une carence persistante entraîne une série de changements impliquant une métaplasie épithéliale et une kératinisation. Les changements les plus dévastateurs se produisent dans les yeux et sont appelés </w:t>
      </w:r>
      <w:r>
        <w:rPr>
          <w:rFonts w:ascii="Times New Roman" w:hAnsi="Times New Roman" w:cs="Times New Roman"/>
          <w:i/>
          <w:iCs/>
          <w:sz w:val="24"/>
          <w:szCs w:val="24"/>
        </w:rPr>
        <w:t xml:space="preserve">xérophtalmie </w:t>
      </w:r>
      <w:r>
        <w:rPr>
          <w:rFonts w:ascii="Times New Roman" w:hAnsi="Times New Roman" w:cs="Times New Roman"/>
          <w:sz w:val="24"/>
          <w:szCs w:val="24"/>
        </w:rPr>
        <w:t xml:space="preserve">(sécheresse oculaire). Tout d'abord, on observe une sécheresse de la conjonctive (xérose conjonctivale), l'épithélium normal sécrétant des larmes et du mucus étant remplacé par un épithélium kératinisé. Cette affection est suivie d'une érosion de la surface rugueuse de la cornée, accompagnée d'un ramollissement et d'une destruction de la cornée </w:t>
      </w:r>
      <w:r>
        <w:rPr>
          <w:rFonts w:ascii="Times New Roman" w:hAnsi="Times New Roman" w:cs="Times New Roman"/>
          <w:i/>
          <w:iCs/>
          <w:sz w:val="24"/>
          <w:szCs w:val="24"/>
        </w:rPr>
        <w:t xml:space="preserve">(kératomalacie) </w:t>
      </w:r>
      <w:r>
        <w:rPr>
          <w:rFonts w:ascii="Times New Roman" w:hAnsi="Times New Roman" w:cs="Times New Roman"/>
          <w:sz w:val="24"/>
          <w:szCs w:val="24"/>
        </w:rPr>
        <w:t xml:space="preserve">et d'une cécité totale. Outre l'épithélium oculaire, l'épithélium qui tapisse les voies respiratoires supérieures et les voies urinaires est remplacé par des cellules squameuses kératinisantes </w:t>
      </w:r>
      <w:r>
        <w:rPr>
          <w:rFonts w:ascii="Times New Roman" w:hAnsi="Times New Roman" w:cs="Times New Roman"/>
          <w:i/>
          <w:iCs/>
          <w:sz w:val="24"/>
          <w:szCs w:val="24"/>
        </w:rPr>
        <w:t>(métaplasie squameuse)</w:t>
      </w:r>
      <w:r>
        <w:rPr>
          <w:rFonts w:ascii="Times New Roman" w:hAnsi="Times New Roman" w:cs="Times New Roman"/>
          <w:sz w:val="24"/>
          <w:szCs w:val="24"/>
        </w:rPr>
        <w:t xml:space="preserve">. La perte de l'épithélium mucociliaire des voies respiratoires prédispose aux infections pulmonaires secondaires, et la desquamation des débris kératiniques dans les voies urinaires prédispose aux calculs rénaux et vésicaux. L'hyperplasie et </w:t>
      </w:r>
      <w:r>
        <w:rPr>
          <w:rFonts w:ascii="Times New Roman" w:hAnsi="Times New Roman" w:cs="Times New Roman"/>
          <w:i/>
          <w:iCs/>
          <w:sz w:val="24"/>
          <w:szCs w:val="24"/>
        </w:rPr>
        <w:t xml:space="preserve">l'hyperkératinisation de l'épiderme </w:t>
      </w:r>
      <w:r>
        <w:rPr>
          <w:rFonts w:ascii="Times New Roman" w:hAnsi="Times New Roman" w:cs="Times New Roman"/>
          <w:sz w:val="24"/>
          <w:szCs w:val="24"/>
        </w:rPr>
        <w:t>avec obstruction des canaux des glandes annexes peuvent entraîner une dermatose folliculaire ou papuleuse. Une autre conséquence très grave est l'immunodéficience, responsable de taux de mortalité plus élevés dus à des infections courantes telles que la rougeole, la pneumonie et la diarrhée infectieuse.</w:t>
      </w:r>
      <w:r>
        <w:rPr>
          <w:rFonts w:ascii="Times New Roman" w:hAnsi="Times New Roman" w:cs="Times New Roman"/>
          <w:sz w:val="24"/>
          <w:szCs w:val="24"/>
        </w:rPr>
        <w:tab/>
      </w:r>
      <w:r w:rsidR="00000145" w:rsidRPr="00000145">
        <w:rPr>
          <w:rFonts w:ascii="Times New Roman" w:hAnsi="Times New Roman" w:cs="Times New Roman"/>
          <w:i/>
          <w:sz w:val="24"/>
          <w:szCs w:val="24"/>
        </w:rPr>
        <w:t xml:space="preserve">La vitamine </w:t>
      </w:r>
      <w:r w:rsidRPr="00000145">
        <w:rPr>
          <w:rFonts w:ascii="Times New Roman" w:hAnsi="Times New Roman" w:cs="Times New Roman"/>
          <w:i/>
          <w:sz w:val="24"/>
          <w:szCs w:val="24"/>
        </w:rPr>
        <w:t xml:space="preserve">D </w:t>
      </w:r>
      <w:r w:rsidRPr="00C60312">
        <w:rPr>
          <w:rFonts w:ascii="Times New Roman" w:hAnsi="Times New Roman" w:cs="Times New Roman"/>
          <w:sz w:val="24"/>
          <w:szCs w:val="24"/>
        </w:rPr>
        <w:t>est une</w:t>
      </w:r>
      <w:r w:rsidR="00000145" w:rsidRPr="00C60312">
        <w:rPr>
          <w:rFonts w:ascii="Times New Roman" w:hAnsi="Times New Roman" w:cs="Times New Roman"/>
          <w:sz w:val="24"/>
          <w:szCs w:val="24"/>
        </w:rPr>
        <w:t xml:space="preserve"> autre </w:t>
      </w:r>
      <w:r w:rsidRPr="00C60312">
        <w:rPr>
          <w:rFonts w:ascii="Times New Roman" w:hAnsi="Times New Roman" w:cs="Times New Roman"/>
          <w:sz w:val="24"/>
          <w:szCs w:val="24"/>
        </w:rPr>
        <w:t>vitamine liposoluble dont le métabolisme est perturbé en cas d'insuffisance hépatique due à une malabsorption liée à une déficience biliaire. Le foie intervient également dans le processus de conversion de la vitamine D en</w:t>
      </w:r>
      <w:r w:rsidRPr="00000145">
        <w:rPr>
          <w:rFonts w:ascii="Times New Roman" w:hAnsi="Times New Roman" w:cs="Times New Roman"/>
          <w:i/>
          <w:sz w:val="24"/>
          <w:szCs w:val="24"/>
        </w:rPr>
        <w:t xml:space="preserve"> 25-hydroxycholécalciférol </w:t>
      </w:r>
      <w:r w:rsidRPr="00C60312">
        <w:rPr>
          <w:rFonts w:ascii="Times New Roman" w:hAnsi="Times New Roman" w:cs="Times New Roman"/>
          <w:sz w:val="24"/>
          <w:szCs w:val="24"/>
        </w:rPr>
        <w:t>(25-OH-D), par l'action des 25-OHases (25-hydroxylases</w:t>
      </w:r>
      <w:r>
        <w:rPr>
          <w:rFonts w:ascii="Arial" w:hAnsi="Arial" w:cs="Arial"/>
          <w:sz w:val="20"/>
          <w:szCs w:val="20"/>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La fonction principale de la vitamine D liposoluble est le maintien de taux plasmatiques adéquats de calcium et de phosphore pour soutenir les fonctions métaboliques, la minéralisation osseuse et la transmission neuromusculaire. La vitamine D est nécessaire à la prévention des maladies osseuses connues sous le nom de </w:t>
      </w:r>
      <w:r>
        <w:rPr>
          <w:rFonts w:ascii="Times New Roman" w:hAnsi="Times New Roman" w:cs="Times New Roman"/>
          <w:i/>
          <w:iCs/>
          <w:color w:val="000000"/>
          <w:sz w:val="24"/>
          <w:szCs w:val="24"/>
        </w:rPr>
        <w:t xml:space="preserve">rachitisme </w:t>
      </w:r>
      <w:r>
        <w:rPr>
          <w:rFonts w:ascii="Times New Roman" w:hAnsi="Times New Roman" w:cs="Times New Roman"/>
          <w:color w:val="000000"/>
          <w:sz w:val="24"/>
          <w:szCs w:val="24"/>
        </w:rPr>
        <w:t xml:space="preserve">(chez les enfants dont les épiphyses ne sont pas encore fermées), </w:t>
      </w:r>
      <w:r>
        <w:rPr>
          <w:rFonts w:ascii="Times New Roman" w:hAnsi="Times New Roman" w:cs="Times New Roman"/>
          <w:i/>
          <w:iCs/>
          <w:color w:val="000000"/>
          <w:sz w:val="24"/>
          <w:szCs w:val="24"/>
        </w:rPr>
        <w:t xml:space="preserve">d'ostéomalacie </w:t>
      </w:r>
      <w:r>
        <w:rPr>
          <w:rFonts w:ascii="Times New Roman" w:hAnsi="Times New Roman" w:cs="Times New Roman"/>
          <w:color w:val="000000"/>
          <w:sz w:val="24"/>
          <w:szCs w:val="24"/>
        </w:rPr>
        <w:t>(chez les adultes) et de tétanie hypocalcémique. Cette dernière affection est un état convulsif causé par une concentration extracellulaire insuffisante de calcium ionisé, nécessaire à l'excitation neuronale normale et à la relaxation musculaire.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D'autres effets de la vitamine D sur le système immunitaire inné et adaptatif ont été rapportés, mais les données sont souvent contradictoires. La vitamine D régule l'expression de plus de 200 gènes, dont ceux qui participent à la prolifération cellulaire, à la différenciation, à l'apoptose et à l'angiogenèse. Il a été rapporté que des taux de </w:t>
      </w:r>
      <w:r w:rsidR="00000145">
        <w:rPr>
          <w:rFonts w:ascii="Times New Roman" w:hAnsi="Times New Roman" w:cs="Times New Roman"/>
          <w:color w:val="000000"/>
          <w:sz w:val="24"/>
          <w:szCs w:val="24"/>
        </w:rPr>
        <w:t xml:space="preserve">vitamine </w:t>
      </w:r>
      <w:r>
        <w:rPr>
          <w:rFonts w:ascii="Times New Roman" w:hAnsi="Times New Roman" w:cs="Times New Roman"/>
          <w:color w:val="000000"/>
          <w:sz w:val="24"/>
          <w:szCs w:val="24"/>
        </w:rPr>
        <w:t>D inférieurs à 20 ng/mL sont associés à une augmentation de 30 % à 50 % de l'incidence des cancers du côlon, de la prostate et du sein.</w:t>
      </w:r>
    </w:p>
    <w:p w14:paraId="7C30D294" w14:textId="77777777" w:rsidR="005E55E6" w:rsidRPr="006372DA" w:rsidRDefault="006372DA" w:rsidP="006372DA">
      <w:pPr>
        <w:ind w:firstLine="720"/>
        <w:jc w:val="both"/>
        <w:rPr>
          <w:rFonts w:ascii="Times New Roman" w:hAnsi="Times New Roman" w:cs="Times New Roman"/>
          <w:sz w:val="24"/>
          <w:szCs w:val="24"/>
        </w:rPr>
      </w:pPr>
      <w:r w:rsidRPr="006372DA">
        <w:rPr>
          <w:rFonts w:ascii="Times New Roman" w:hAnsi="Times New Roman" w:cs="Times New Roman"/>
          <w:i/>
          <w:sz w:val="24"/>
          <w:szCs w:val="24"/>
        </w:rPr>
        <w:t xml:space="preserve">La vitamine K </w:t>
      </w:r>
      <w:r w:rsidRPr="006372DA">
        <w:rPr>
          <w:rFonts w:ascii="Times New Roman" w:hAnsi="Times New Roman" w:cs="Times New Roman"/>
          <w:sz w:val="24"/>
          <w:szCs w:val="24"/>
        </w:rPr>
        <w:t xml:space="preserve">est </w:t>
      </w:r>
      <w:r w:rsidRPr="009A42ED">
        <w:rPr>
          <w:rFonts w:ascii="Times New Roman" w:hAnsi="Times New Roman" w:cs="Times New Roman"/>
          <w:sz w:val="24"/>
          <w:szCs w:val="24"/>
        </w:rPr>
        <w:t xml:space="preserve">nécessaire à la carboxylation post-traductionnelle de l'acide glutamique, qui est nécessaire à la liaison du calcium aux protéines γ-carboxylées telles que la prothrombine (facteur II) ; les facteurs VII, IX et X ; la protéine C ; la protéine S ; et les protéines présentes dans les os (ostéocalcine) </w:t>
      </w:r>
      <w:r>
        <w:rPr>
          <w:rFonts w:ascii="Times New Roman" w:hAnsi="Times New Roman" w:cs="Times New Roman"/>
          <w:sz w:val="24"/>
          <w:szCs w:val="24"/>
        </w:rPr>
        <w:t>et les muscles lisses vasculaires (</w:t>
      </w:r>
      <w:r w:rsidRPr="009A42ED">
        <w:rPr>
          <w:rFonts w:ascii="Times New Roman" w:hAnsi="Times New Roman" w:cs="Times New Roman"/>
          <w:sz w:val="24"/>
          <w:szCs w:val="24"/>
        </w:rPr>
        <w:t xml:space="preserve">protéine Gla matricielle). Cependant, l'importance de la vitamine K pour la minéralisation osseuse et la prévention de la calcification vasculaire n'est pas connue. </w:t>
      </w:r>
      <w:r w:rsidR="005E55E6" w:rsidRPr="006372DA">
        <w:rPr>
          <w:rFonts w:ascii="Times New Roman" w:hAnsi="Times New Roman" w:cs="Times New Roman"/>
          <w:sz w:val="24"/>
          <w:szCs w:val="24"/>
        </w:rPr>
        <w:t xml:space="preserve">En cas d'insuffisance hépatique, un déficit en vitamine K, résultant d'une malabsorption intestinale, entraînera une diminution </w:t>
      </w:r>
      <w:r>
        <w:rPr>
          <w:rFonts w:ascii="Times New Roman" w:hAnsi="Times New Roman" w:cs="Times New Roman"/>
          <w:sz w:val="24"/>
          <w:szCs w:val="24"/>
        </w:rPr>
        <w:t xml:space="preserve">de la synthèse des facteurs de coagulation II, </w:t>
      </w:r>
      <w:r w:rsidR="005E55E6" w:rsidRPr="006372DA">
        <w:rPr>
          <w:rFonts w:ascii="Times New Roman" w:hAnsi="Times New Roman" w:cs="Times New Roman"/>
          <w:sz w:val="24"/>
          <w:szCs w:val="24"/>
        </w:rPr>
        <w:t xml:space="preserve">VII, IX, X et de l' , phénomène qui peut expliquer l'hypocoagulation sanguine et le développement d'un syndrome hémorragique. </w:t>
      </w:r>
    </w:p>
    <w:p w14:paraId="780B7D0F" w14:textId="77777777" w:rsidR="004263DE" w:rsidRDefault="0067084F" w:rsidP="004263DE">
      <w:pPr>
        <w:jc w:val="both"/>
        <w:rPr>
          <w:rFonts w:ascii="Times New Roman" w:hAnsi="Times New Roman" w:cs="Times New Roman"/>
          <w:sz w:val="24"/>
          <w:szCs w:val="24"/>
        </w:rPr>
      </w:pPr>
      <w:r w:rsidRPr="0067084F">
        <w:rPr>
          <w:rFonts w:ascii="Times New Roman" w:hAnsi="Times New Roman" w:cs="Times New Roman"/>
          <w:sz w:val="24"/>
          <w:szCs w:val="24"/>
        </w:rPr>
        <w:t xml:space="preserve">   </w:t>
      </w:r>
      <w:r w:rsidR="004263DE">
        <w:rPr>
          <w:rFonts w:ascii="Times New Roman" w:hAnsi="Times New Roman" w:cs="Times New Roman"/>
          <w:sz w:val="24"/>
          <w:szCs w:val="24"/>
        </w:rPr>
        <w:t xml:space="preserve">    </w:t>
      </w:r>
      <w:r w:rsidRPr="0067084F">
        <w:rPr>
          <w:rFonts w:ascii="Times New Roman" w:hAnsi="Times New Roman" w:cs="Times New Roman"/>
          <w:sz w:val="24"/>
          <w:szCs w:val="24"/>
        </w:rPr>
        <w:t xml:space="preserve">   </w:t>
      </w:r>
      <w:r w:rsidR="004263DE" w:rsidRPr="004263DE">
        <w:rPr>
          <w:rFonts w:ascii="Times New Roman" w:hAnsi="Times New Roman" w:cs="Times New Roman"/>
          <w:i/>
          <w:sz w:val="24"/>
          <w:szCs w:val="24"/>
        </w:rPr>
        <w:t xml:space="preserve">La vitamine E </w:t>
      </w:r>
      <w:r w:rsidR="004263DE" w:rsidRPr="009A42ED">
        <w:rPr>
          <w:rFonts w:ascii="Times New Roman" w:hAnsi="Times New Roman" w:cs="Times New Roman"/>
          <w:sz w:val="24"/>
          <w:szCs w:val="24"/>
        </w:rPr>
        <w:t xml:space="preserve">est un nom collectif désignant tous les stéréoisomères des tocophérols et des tocotriénols, bien que seuls les tocophérols RR répondent aux besoins humains. La vitamine E agit comme un antioxydant brisant les chaînes et est un piégeur efficace des radicaux pyroxyles qui protège les lipoprotéines de basse densité (LDL) et les graisses polyinsaturées des membranes contre l'oxydation. Un </w:t>
      </w:r>
      <w:r w:rsidR="004263DE">
        <w:rPr>
          <w:rFonts w:ascii="Times New Roman" w:hAnsi="Times New Roman" w:cs="Times New Roman"/>
          <w:sz w:val="24"/>
          <w:szCs w:val="24"/>
        </w:rPr>
        <w:t>réseau d'autres antioxydants (</w:t>
      </w:r>
      <w:r w:rsidR="004263DE" w:rsidRPr="009A42ED">
        <w:rPr>
          <w:rFonts w:ascii="Times New Roman" w:hAnsi="Times New Roman" w:cs="Times New Roman"/>
          <w:sz w:val="24"/>
          <w:szCs w:val="24"/>
        </w:rPr>
        <w:t>vitamine C, glutathion) et d'enzymes maintient la vitamine E à l'état réduit. La vitamine E inhibe également la synthèse des prostaglandines et les activités de la protéine kinase C et de la phospholipase A</w:t>
      </w:r>
      <w:r w:rsidR="004263DE" w:rsidRPr="004263DE">
        <w:rPr>
          <w:rFonts w:ascii="Times New Roman" w:hAnsi="Times New Roman" w:cs="Times New Roman"/>
          <w:sz w:val="24"/>
          <w:szCs w:val="24"/>
          <w:vertAlign w:val="subscript"/>
        </w:rPr>
        <w:t>2</w:t>
      </w:r>
      <w:r w:rsidR="004263DE" w:rsidRPr="009A42ED">
        <w:rPr>
          <w:rFonts w:ascii="Times New Roman" w:hAnsi="Times New Roman" w:cs="Times New Roman"/>
          <w:sz w:val="24"/>
          <w:szCs w:val="24"/>
        </w:rPr>
        <w:t xml:space="preserve">. Après absorption, la vitamine E est captée </w:t>
      </w:r>
      <w:r w:rsidR="004263DE">
        <w:rPr>
          <w:rFonts w:ascii="Times New Roman" w:hAnsi="Times New Roman" w:cs="Times New Roman"/>
          <w:sz w:val="24"/>
          <w:szCs w:val="24"/>
        </w:rPr>
        <w:t xml:space="preserve">par le foie </w:t>
      </w:r>
      <w:r w:rsidR="004263DE" w:rsidRPr="009A42ED">
        <w:rPr>
          <w:rFonts w:ascii="Times New Roman" w:hAnsi="Times New Roman" w:cs="Times New Roman"/>
          <w:sz w:val="24"/>
          <w:szCs w:val="24"/>
        </w:rPr>
        <w:t xml:space="preserve">à partir </w:t>
      </w:r>
      <w:r w:rsidR="004263DE">
        <w:rPr>
          <w:rFonts w:ascii="Times New Roman" w:hAnsi="Times New Roman" w:cs="Times New Roman"/>
          <w:sz w:val="24"/>
          <w:szCs w:val="24"/>
        </w:rPr>
        <w:t xml:space="preserve">des chylomicrons, et une </w:t>
      </w:r>
      <w:r w:rsidR="004263DE" w:rsidRPr="009A42ED">
        <w:rPr>
          <w:rFonts w:ascii="Times New Roman" w:hAnsi="Times New Roman" w:cs="Times New Roman"/>
          <w:sz w:val="24"/>
          <w:szCs w:val="24"/>
        </w:rPr>
        <w:t xml:space="preserve">protéine </w:t>
      </w:r>
      <w:r w:rsidR="004263DE">
        <w:rPr>
          <w:rFonts w:ascii="Times New Roman" w:hAnsi="Times New Roman" w:cs="Times New Roman"/>
          <w:sz w:val="24"/>
          <w:szCs w:val="24"/>
        </w:rPr>
        <w:t xml:space="preserve">hépatique </w:t>
      </w:r>
      <w:r w:rsidR="004263DE" w:rsidRPr="009A42ED">
        <w:rPr>
          <w:rFonts w:ascii="Times New Roman" w:hAnsi="Times New Roman" w:cs="Times New Roman"/>
          <w:sz w:val="24"/>
          <w:szCs w:val="24"/>
        </w:rPr>
        <w:t>de transport du tocophérol assure le transport intracellulaire de la vitamine E et son incorporation dans les lipoprotéines de très basse densité (VLDL).</w:t>
      </w:r>
      <w:r w:rsidR="004263DE">
        <w:rPr>
          <w:rFonts w:ascii="Times New Roman" w:hAnsi="Times New Roman" w:cs="Times New Roman"/>
          <w:sz w:val="24"/>
          <w:szCs w:val="24"/>
        </w:rPr>
        <w:t xml:space="preserve"> </w:t>
      </w:r>
      <w:r w:rsidR="004263DE" w:rsidRPr="009A42ED">
        <w:rPr>
          <w:rFonts w:ascii="Times New Roman" w:hAnsi="Times New Roman" w:cs="Times New Roman"/>
          <w:sz w:val="24"/>
          <w:szCs w:val="24"/>
        </w:rPr>
        <w:t>Une carence en vitamine E provoque une dégénérescence axonale des grands axones myélinisés et entraîne des symptômes de la colonne postérieure et spinocérébelleux. La neuropathie périphérique se caractérise initialement par une aréflexie, évoluant vers une démarche ataxique, et par une diminution des sensations vibratoires et positionnelles. Une ophtalmoplégie, une myopathie squelettique et une rétinopathie pigmentaire peuvent également être des signes d'une carence en vitamine E.</w:t>
      </w:r>
    </w:p>
    <w:p w14:paraId="6BC9AE0B" w14:textId="77777777" w:rsidR="005E55E6" w:rsidRPr="005E55E6" w:rsidRDefault="0067084F" w:rsidP="00207109">
      <w:pPr>
        <w:autoSpaceDE w:val="0"/>
        <w:autoSpaceDN w:val="0"/>
        <w:adjustRightInd w:val="0"/>
        <w:spacing w:after="0"/>
        <w:ind w:firstLine="720"/>
        <w:jc w:val="both"/>
        <w:rPr>
          <w:rFonts w:ascii="Times New Roman" w:hAnsi="Times New Roman" w:cs="Times New Roman"/>
          <w:sz w:val="24"/>
          <w:szCs w:val="24"/>
        </w:rPr>
      </w:pPr>
      <w:r w:rsidRPr="0067084F">
        <w:rPr>
          <w:rFonts w:ascii="Times New Roman" w:hAnsi="Times New Roman" w:cs="Times New Roman"/>
          <w:sz w:val="24"/>
          <w:szCs w:val="24"/>
        </w:rPr>
        <w:t xml:space="preserve">  En cas d'insuffisance hépatique, on observe des troubles du métabolisme du cholestérol. En cas d'insuffisance hépatique, la synthèse et l'estérification du cholestérol </w:t>
      </w:r>
      <w:r w:rsidR="0030381E">
        <w:rPr>
          <w:rFonts w:ascii="Times New Roman" w:hAnsi="Times New Roman" w:cs="Times New Roman"/>
          <w:sz w:val="24"/>
          <w:szCs w:val="24"/>
        </w:rPr>
        <w:t xml:space="preserve">sont </w:t>
      </w:r>
      <w:r w:rsidRPr="0067084F">
        <w:rPr>
          <w:rFonts w:ascii="Times New Roman" w:hAnsi="Times New Roman" w:cs="Times New Roman"/>
          <w:sz w:val="24"/>
          <w:szCs w:val="24"/>
        </w:rPr>
        <w:t>perturbées. La fraction estérifiée du cholestérol est réduite (jusqu'à 10 %, par rapport aux valeurs normales de 60 à 70 %) ou peut être complètement absente ; parallèlement, le cholestérol libre dans le sang augmente</w:t>
      </w:r>
      <w:r w:rsidRPr="006763CC">
        <w:rPr>
          <w:rFonts w:ascii="Times New Roman" w:hAnsi="Times New Roman" w:cs="Times New Roman"/>
          <w:i/>
          <w:sz w:val="24"/>
          <w:szCs w:val="24"/>
        </w:rPr>
        <w:t xml:space="preserve">. </w:t>
      </w:r>
      <w:r w:rsidRPr="0030381E">
        <w:rPr>
          <w:rFonts w:ascii="Times New Roman" w:hAnsi="Times New Roman" w:cs="Times New Roman"/>
          <w:sz w:val="24"/>
          <w:szCs w:val="24"/>
        </w:rPr>
        <w:t xml:space="preserve">En cas d'insuffisance hépatique avancée, le cholestérol total dans le sang est réduit en raison de la diminution </w:t>
      </w:r>
      <w:r w:rsidRPr="00207109">
        <w:rPr>
          <w:rFonts w:ascii="Times New Roman" w:hAnsi="Times New Roman" w:cs="Times New Roman"/>
          <w:sz w:val="24"/>
          <w:szCs w:val="24"/>
        </w:rPr>
        <w:t xml:space="preserve">de la capacité des hépatocytes à le synthétiser. </w:t>
      </w:r>
      <w:r w:rsidR="00207109" w:rsidRPr="00207109">
        <w:rPr>
          <w:rFonts w:ascii="Times New Roman" w:hAnsi="Times New Roman" w:cs="Times New Roman"/>
          <w:sz w:val="24"/>
          <w:szCs w:val="24"/>
        </w:rPr>
        <w:t>Il convient toutefois de mentionner que dans les cas d'</w:t>
      </w:r>
      <w:r w:rsidRPr="00207109">
        <w:rPr>
          <w:rFonts w:ascii="Times New Roman" w:hAnsi="Times New Roman" w:cs="Times New Roman"/>
          <w:sz w:val="24"/>
          <w:szCs w:val="24"/>
        </w:rPr>
        <w:t xml:space="preserve">insuffisance hépatique </w:t>
      </w:r>
      <w:r w:rsidR="00207109" w:rsidRPr="00207109">
        <w:rPr>
          <w:rFonts w:ascii="Times New Roman" w:hAnsi="Times New Roman" w:cs="Times New Roman"/>
          <w:sz w:val="24"/>
          <w:szCs w:val="24"/>
        </w:rPr>
        <w:t>résultant d'</w:t>
      </w:r>
      <w:r w:rsidRPr="00207109">
        <w:rPr>
          <w:rFonts w:ascii="Times New Roman" w:hAnsi="Times New Roman" w:cs="Times New Roman"/>
          <w:sz w:val="24"/>
          <w:szCs w:val="24"/>
        </w:rPr>
        <w:t xml:space="preserve">une obstruction biliaire, le cholestérol total </w:t>
      </w:r>
      <w:r w:rsidR="00207109" w:rsidRPr="00207109">
        <w:rPr>
          <w:rFonts w:ascii="Times New Roman" w:hAnsi="Times New Roman" w:cs="Times New Roman"/>
          <w:sz w:val="24"/>
          <w:szCs w:val="24"/>
        </w:rPr>
        <w:t xml:space="preserve">dans le sang </w:t>
      </w:r>
      <w:r w:rsidRPr="00207109">
        <w:rPr>
          <w:rFonts w:ascii="Times New Roman" w:hAnsi="Times New Roman" w:cs="Times New Roman"/>
          <w:sz w:val="24"/>
          <w:szCs w:val="24"/>
        </w:rPr>
        <w:t xml:space="preserve">peut être augmenté en raison de </w:t>
      </w:r>
      <w:r w:rsidR="00207109" w:rsidRPr="00207109">
        <w:rPr>
          <w:rFonts w:ascii="Times New Roman" w:hAnsi="Times New Roman" w:cs="Times New Roman"/>
          <w:sz w:val="24"/>
          <w:szCs w:val="24"/>
        </w:rPr>
        <w:t xml:space="preserve">la cholestase et </w:t>
      </w:r>
      <w:r w:rsidRPr="00207109">
        <w:rPr>
          <w:rFonts w:ascii="Times New Roman" w:hAnsi="Times New Roman" w:cs="Times New Roman"/>
          <w:sz w:val="24"/>
          <w:szCs w:val="24"/>
        </w:rPr>
        <w:t xml:space="preserve">de </w:t>
      </w:r>
      <w:r w:rsidR="00207109" w:rsidRPr="00207109">
        <w:rPr>
          <w:rFonts w:ascii="Times New Roman" w:hAnsi="Times New Roman" w:cs="Times New Roman"/>
          <w:sz w:val="24"/>
          <w:szCs w:val="24"/>
        </w:rPr>
        <w:t>la cholémie (présence de bile dans le sang</w:t>
      </w:r>
      <w:r w:rsidR="00207109">
        <w:rPr>
          <w:rFonts w:ascii="Times New Roman" w:hAnsi="Times New Roman" w:cs="Times New Roman"/>
          <w:sz w:val="24"/>
          <w:szCs w:val="24"/>
        </w:rPr>
        <w:t xml:space="preserve">) </w:t>
      </w:r>
      <w:r w:rsidR="00207109" w:rsidRPr="00207109">
        <w:rPr>
          <w:rFonts w:ascii="Times New Roman" w:hAnsi="Times New Roman" w:cs="Times New Roman"/>
          <w:sz w:val="24"/>
          <w:szCs w:val="24"/>
        </w:rPr>
        <w:t xml:space="preserve">et </w:t>
      </w:r>
      <w:r w:rsidRPr="00207109">
        <w:rPr>
          <w:rFonts w:ascii="Times New Roman" w:hAnsi="Times New Roman" w:cs="Times New Roman"/>
          <w:sz w:val="24"/>
          <w:szCs w:val="24"/>
        </w:rPr>
        <w:t>de la diminution de l'activité de la lécithine-cholestérol-acétyltransférase, une enzyme qui transforme le cholestérol libre en cholestérol estérifié</w:t>
      </w:r>
      <w:r w:rsidR="00207109">
        <w:rPr>
          <w:rFonts w:ascii="Times New Roman" w:hAnsi="Times New Roman" w:cs="Times New Roman"/>
          <w:sz w:val="24"/>
          <w:szCs w:val="24"/>
        </w:rPr>
        <w:t xml:space="preserve">. </w:t>
      </w:r>
    </w:p>
    <w:p w14:paraId="3326D71B" w14:textId="77777777" w:rsidR="006763CC" w:rsidRPr="00BA0C78" w:rsidRDefault="006763CC" w:rsidP="00BA0C78">
      <w:pPr>
        <w:autoSpaceDE w:val="0"/>
        <w:autoSpaceDN w:val="0"/>
        <w:adjustRightInd w:val="0"/>
        <w:spacing w:after="0"/>
        <w:ind w:firstLine="720"/>
        <w:jc w:val="both"/>
        <w:rPr>
          <w:rFonts w:ascii="Times New Roman" w:eastAsia="Calibri" w:hAnsi="Times New Roman" w:cs="Times New Roman"/>
          <w:sz w:val="24"/>
          <w:szCs w:val="24"/>
          <w:lang w:val="en-GB"/>
        </w:rPr>
      </w:pPr>
      <w:r w:rsidRPr="006763CC">
        <w:rPr>
          <w:rFonts w:ascii="Times New Roman" w:hAnsi="Times New Roman" w:cs="Times New Roman"/>
          <w:i/>
          <w:sz w:val="24"/>
          <w:szCs w:val="24"/>
        </w:rPr>
        <w:t xml:space="preserve">           </w:t>
      </w:r>
      <w:r w:rsidRPr="0096774F">
        <w:rPr>
          <w:rFonts w:ascii="Times New Roman" w:hAnsi="Times New Roman" w:cs="Times New Roman"/>
          <w:sz w:val="24"/>
          <w:szCs w:val="24"/>
        </w:rPr>
        <w:t xml:space="preserve">Les troubles du métabolisme lipidique </w:t>
      </w:r>
      <w:r w:rsidR="00207109" w:rsidRPr="0096774F">
        <w:rPr>
          <w:rFonts w:ascii="Times New Roman" w:hAnsi="Times New Roman" w:cs="Times New Roman"/>
          <w:sz w:val="24"/>
          <w:szCs w:val="24"/>
        </w:rPr>
        <w:t xml:space="preserve">dans l'insuffisance hépatique </w:t>
      </w:r>
      <w:r w:rsidR="0096774F">
        <w:rPr>
          <w:rFonts w:ascii="Times New Roman" w:hAnsi="Times New Roman" w:cs="Times New Roman"/>
          <w:sz w:val="24"/>
          <w:szCs w:val="24"/>
        </w:rPr>
        <w:t xml:space="preserve">sont </w:t>
      </w:r>
      <w:r w:rsidRPr="0096774F">
        <w:rPr>
          <w:rFonts w:ascii="Times New Roman" w:hAnsi="Times New Roman" w:cs="Times New Roman"/>
          <w:sz w:val="24"/>
          <w:szCs w:val="24"/>
        </w:rPr>
        <w:t xml:space="preserve">étroitement liés aux troubles </w:t>
      </w:r>
      <w:r w:rsidR="00207109" w:rsidRPr="0096774F">
        <w:rPr>
          <w:rFonts w:ascii="Times New Roman" w:hAnsi="Times New Roman" w:cs="Times New Roman"/>
          <w:sz w:val="24"/>
          <w:szCs w:val="24"/>
        </w:rPr>
        <w:t>du métabolisme</w:t>
      </w:r>
      <w:r w:rsidRPr="0096774F">
        <w:rPr>
          <w:rFonts w:ascii="Times New Roman" w:hAnsi="Times New Roman" w:cs="Times New Roman"/>
          <w:sz w:val="24"/>
          <w:szCs w:val="24"/>
        </w:rPr>
        <w:t xml:space="preserve"> glucidique. </w:t>
      </w:r>
      <w:r w:rsidR="00207109" w:rsidRPr="0096774F">
        <w:rPr>
          <w:rFonts w:ascii="Times New Roman" w:hAnsi="Times New Roman" w:cs="Times New Roman"/>
          <w:sz w:val="24"/>
          <w:szCs w:val="24"/>
        </w:rPr>
        <w:t xml:space="preserve">Dans l'insuffisance hépatique, on observe une déplétion du glycogène dans le foie et une tendance à l'hypoglycémie. Ces phénomènes stimulent la lipolyse dans le tissu adipeux et augmentent la libération </w:t>
      </w:r>
      <w:r w:rsidR="0096774F">
        <w:rPr>
          <w:rFonts w:ascii="Times New Roman" w:hAnsi="Times New Roman" w:cs="Times New Roman"/>
          <w:sz w:val="24"/>
          <w:szCs w:val="24"/>
        </w:rPr>
        <w:t xml:space="preserve">d'acides gras. </w:t>
      </w:r>
      <w:r w:rsidR="0096774F" w:rsidRPr="0096774F">
        <w:rPr>
          <w:rFonts w:ascii="Times New Roman" w:hAnsi="Times New Roman" w:cs="Times New Roman"/>
          <w:sz w:val="24"/>
          <w:szCs w:val="24"/>
        </w:rPr>
        <w:t xml:space="preserve">Leur oxydation </w:t>
      </w:r>
      <w:r w:rsidR="0096774F">
        <w:rPr>
          <w:rFonts w:ascii="Times New Roman" w:hAnsi="Times New Roman" w:cs="Times New Roman"/>
          <w:sz w:val="24"/>
          <w:szCs w:val="24"/>
        </w:rPr>
        <w:t xml:space="preserve">augmente </w:t>
      </w:r>
      <w:r w:rsidR="0096774F" w:rsidRPr="0096774F">
        <w:rPr>
          <w:rFonts w:ascii="Times New Roman" w:hAnsi="Times New Roman" w:cs="Times New Roman"/>
          <w:sz w:val="24"/>
          <w:szCs w:val="24"/>
        </w:rPr>
        <w:t>les niveaux d'acétyl-CoA (acétate).</w:t>
      </w:r>
      <w:r w:rsidR="0096774F" w:rsidRPr="006763CC">
        <w:rPr>
          <w:rFonts w:ascii="Times New Roman" w:hAnsi="Times New Roman" w:cs="Times New Roman"/>
          <w:i/>
          <w:sz w:val="24"/>
          <w:szCs w:val="24"/>
        </w:rPr>
        <w:t xml:space="preserve"> </w:t>
      </w:r>
      <w:r w:rsidR="0096774F" w:rsidRPr="0096774F">
        <w:rPr>
          <w:rFonts w:ascii="Times New Roman" w:hAnsi="Times New Roman" w:cs="Times New Roman"/>
          <w:sz w:val="24"/>
          <w:szCs w:val="24"/>
        </w:rPr>
        <w:t xml:space="preserve">L'excès d'acétyl-CoA est transformé en corps cétoniques : </w:t>
      </w:r>
      <w:r w:rsidR="0096774F" w:rsidRPr="0096774F">
        <w:rPr>
          <w:rFonts w:ascii="Times New Roman" w:hAnsi="Times New Roman" w:cs="Times New Roman"/>
          <w:i/>
          <w:sz w:val="24"/>
          <w:szCs w:val="24"/>
        </w:rPr>
        <w:t xml:space="preserve">acide β-oxybutyrique, acétone </w:t>
      </w:r>
      <w:r w:rsidR="0096774F" w:rsidRPr="0096774F">
        <w:rPr>
          <w:rFonts w:ascii="Times New Roman" w:hAnsi="Times New Roman" w:cs="Times New Roman"/>
          <w:sz w:val="24"/>
          <w:szCs w:val="24"/>
        </w:rPr>
        <w:t xml:space="preserve">et </w:t>
      </w:r>
      <w:r w:rsidR="0096774F" w:rsidRPr="0096774F">
        <w:rPr>
          <w:rFonts w:ascii="Times New Roman" w:hAnsi="Times New Roman" w:cs="Times New Roman"/>
          <w:i/>
          <w:sz w:val="24"/>
          <w:szCs w:val="24"/>
        </w:rPr>
        <w:t xml:space="preserve">acétylacétate. </w:t>
      </w:r>
      <w:r w:rsidR="006924DB" w:rsidRPr="0096774F">
        <w:rPr>
          <w:rFonts w:ascii="Times New Roman" w:hAnsi="Times New Roman" w:cs="Times New Roman"/>
          <w:sz w:val="24"/>
          <w:szCs w:val="24"/>
        </w:rPr>
        <w:t xml:space="preserve">L'excès d'acétyl-CoA </w:t>
      </w:r>
      <w:r w:rsidR="006924DB">
        <w:rPr>
          <w:rFonts w:ascii="Times New Roman" w:hAnsi="Times New Roman" w:cs="Times New Roman"/>
          <w:sz w:val="24"/>
          <w:szCs w:val="24"/>
        </w:rPr>
        <w:t xml:space="preserve">est dû à sa sous-utilisation dans d'autres voies métaboliques. </w:t>
      </w:r>
      <w:r w:rsidR="006924DB" w:rsidRPr="006924DB">
        <w:rPr>
          <w:rFonts w:ascii="Times New Roman" w:hAnsi="Times New Roman" w:cs="Times New Roman"/>
          <w:sz w:val="24"/>
          <w:szCs w:val="24"/>
        </w:rPr>
        <w:t>L'acétyl-CoA représente le produit final du métabolisme des protéines, des lipides et des glucides. Il est donc évident que les acides gras peuvent être synthétisés à partir des protéines et des glucides en passant par une étape d'acétyl-CoA</w:t>
      </w:r>
      <w:r w:rsidR="006924DB" w:rsidRPr="006763CC">
        <w:rPr>
          <w:rFonts w:ascii="Times New Roman" w:hAnsi="Times New Roman" w:cs="Times New Roman"/>
          <w:i/>
          <w:sz w:val="24"/>
          <w:szCs w:val="24"/>
        </w:rPr>
        <w:t xml:space="preserve">. </w:t>
      </w:r>
      <w:r w:rsidR="006924DB">
        <w:rPr>
          <w:rFonts w:ascii="Times New Roman" w:hAnsi="Times New Roman" w:cs="Times New Roman"/>
          <w:sz w:val="24"/>
          <w:szCs w:val="24"/>
        </w:rPr>
        <w:t xml:space="preserve">L'une des voies bloquées qui utilise l'acétyl-CoA est la resynthèse des acides gras libres. </w:t>
      </w:r>
      <w:r w:rsidR="006924DB" w:rsidRPr="006924DB">
        <w:rPr>
          <w:rFonts w:ascii="Times New Roman" w:hAnsi="Times New Roman" w:cs="Times New Roman"/>
          <w:sz w:val="24"/>
          <w:szCs w:val="24"/>
        </w:rPr>
        <w:t xml:space="preserve">La biosynthèse des acides gras saturés </w:t>
      </w:r>
      <w:r w:rsidR="006924DB">
        <w:rPr>
          <w:rFonts w:ascii="Times New Roman" w:hAnsi="Times New Roman" w:cs="Times New Roman"/>
          <w:sz w:val="24"/>
          <w:szCs w:val="24"/>
        </w:rPr>
        <w:t xml:space="preserve">est réalisée </w:t>
      </w:r>
      <w:r w:rsidR="006924DB" w:rsidRPr="006924DB">
        <w:rPr>
          <w:rFonts w:ascii="Times New Roman" w:hAnsi="Times New Roman" w:cs="Times New Roman"/>
          <w:sz w:val="24"/>
          <w:szCs w:val="24"/>
        </w:rPr>
        <w:t>à partir du malonyl-CoA avec la participation d'enzymes cytoplasmiques, et le malonyl-CoA est formé à partir de l'acétyl-CoA plasmatique et de l'oxyde de carbone avec la participation de l'enzyme acétyl-CoA-cocarboxylase</w:t>
      </w:r>
      <w:r w:rsidR="006924DB">
        <w:rPr>
          <w:rFonts w:ascii="Times New Roman" w:hAnsi="Times New Roman" w:cs="Times New Roman"/>
          <w:sz w:val="24"/>
          <w:szCs w:val="24"/>
        </w:rPr>
        <w:t xml:space="preserve">. </w:t>
      </w:r>
      <w:r w:rsidR="006924DB" w:rsidRPr="006924DB">
        <w:rPr>
          <w:rFonts w:ascii="Times New Roman" w:hAnsi="Times New Roman" w:cs="Times New Roman"/>
          <w:sz w:val="24"/>
          <w:szCs w:val="24"/>
        </w:rPr>
        <w:t>L'élimination de la chaîne de l'acide gras nécessite des ions hydrogène. Dans cette condition physiologique, les ions H</w:t>
      </w:r>
      <w:r w:rsidR="006924DB" w:rsidRPr="006924DB">
        <w:rPr>
          <w:rFonts w:ascii="Times New Roman" w:hAnsi="Times New Roman" w:cs="Times New Roman"/>
          <w:sz w:val="24"/>
          <w:szCs w:val="24"/>
          <w:vertAlign w:val="superscript"/>
        </w:rPr>
        <w:t>+</w:t>
      </w:r>
      <w:r w:rsidR="006924DB" w:rsidRPr="006924DB">
        <w:rPr>
          <w:rFonts w:ascii="Times New Roman" w:hAnsi="Times New Roman" w:cs="Times New Roman"/>
          <w:sz w:val="24"/>
          <w:szCs w:val="24"/>
        </w:rPr>
        <w:t xml:space="preserve">  sont fournis par l'enzyme NADPH, formée dans le cycle des pentoses phosphates. Ainsi, l'intensité de la synthèse des acides gras est directement proportionnelle à l'intensité de ce cycle </w:t>
      </w:r>
      <w:r w:rsidR="006924DB">
        <w:rPr>
          <w:rFonts w:ascii="Times New Roman" w:hAnsi="Times New Roman" w:cs="Times New Roman"/>
          <w:sz w:val="24"/>
          <w:szCs w:val="24"/>
        </w:rPr>
        <w:t xml:space="preserve">qui </w:t>
      </w:r>
      <w:r w:rsidR="00A73A7B">
        <w:rPr>
          <w:rFonts w:ascii="Times New Roman" w:hAnsi="Times New Roman" w:cs="Times New Roman"/>
          <w:sz w:val="24"/>
          <w:szCs w:val="24"/>
        </w:rPr>
        <w:t xml:space="preserve">génère </w:t>
      </w:r>
      <w:r w:rsidR="006924DB">
        <w:rPr>
          <w:rFonts w:ascii="Times New Roman" w:hAnsi="Times New Roman" w:cs="Times New Roman"/>
          <w:sz w:val="24"/>
          <w:szCs w:val="24"/>
        </w:rPr>
        <w:t>du NADPH</w:t>
      </w:r>
      <w:r w:rsidR="006924DB" w:rsidRPr="006924DB">
        <w:rPr>
          <w:rFonts w:ascii="Times New Roman" w:hAnsi="Times New Roman" w:cs="Times New Roman"/>
          <w:sz w:val="24"/>
          <w:szCs w:val="24"/>
        </w:rPr>
        <w:t xml:space="preserve">. </w:t>
      </w:r>
      <w:r w:rsidR="00A73A7B">
        <w:rPr>
          <w:rFonts w:ascii="Times New Roman" w:hAnsi="Times New Roman" w:cs="Times New Roman"/>
          <w:sz w:val="24"/>
          <w:szCs w:val="24"/>
        </w:rPr>
        <w:t xml:space="preserve">Au niveau du </w:t>
      </w:r>
      <w:r w:rsidR="00A73A7B" w:rsidRPr="00A73A7B">
        <w:rPr>
          <w:rFonts w:ascii="Times New Roman" w:hAnsi="Times New Roman" w:cs="Times New Roman"/>
          <w:sz w:val="24"/>
          <w:szCs w:val="24"/>
        </w:rPr>
        <w:t xml:space="preserve">tissu </w:t>
      </w:r>
      <w:r w:rsidR="00A73A7B">
        <w:rPr>
          <w:rFonts w:ascii="Times New Roman" w:hAnsi="Times New Roman" w:cs="Times New Roman"/>
          <w:sz w:val="24"/>
          <w:szCs w:val="24"/>
        </w:rPr>
        <w:t xml:space="preserve">adipeux, </w:t>
      </w:r>
      <w:r w:rsidR="00A73A7B" w:rsidRPr="00A73A7B">
        <w:rPr>
          <w:rFonts w:ascii="Times New Roman" w:hAnsi="Times New Roman" w:cs="Times New Roman"/>
          <w:sz w:val="24"/>
          <w:szCs w:val="24"/>
        </w:rPr>
        <w:t xml:space="preserve">le rapport entre le cycle des pentoses phosphates et le cycle glycolytique est de 1:1 ; dans le foie, ce rapport est de 1:12, mais dans le tissu musculaire, le cycle des pentoses phosphates est pratiquement inexistant. </w:t>
      </w:r>
      <w:r w:rsidR="00A73A7B">
        <w:rPr>
          <w:rFonts w:ascii="Times New Roman" w:hAnsi="Times New Roman" w:cs="Times New Roman"/>
          <w:sz w:val="24"/>
          <w:szCs w:val="24"/>
        </w:rPr>
        <w:t xml:space="preserve">Ainsi, cette </w:t>
      </w:r>
      <w:r w:rsidR="00000145">
        <w:rPr>
          <w:rFonts w:ascii="Times New Roman" w:hAnsi="Times New Roman" w:cs="Times New Roman"/>
          <w:sz w:val="24"/>
          <w:szCs w:val="24"/>
        </w:rPr>
        <w:t>voie</w:t>
      </w:r>
      <w:r w:rsidR="00A73A7B">
        <w:rPr>
          <w:rFonts w:ascii="Times New Roman" w:hAnsi="Times New Roman" w:cs="Times New Roman"/>
          <w:sz w:val="24"/>
          <w:szCs w:val="24"/>
        </w:rPr>
        <w:t xml:space="preserve"> métabolique </w:t>
      </w:r>
      <w:r w:rsidR="00000145">
        <w:rPr>
          <w:rFonts w:ascii="Times New Roman" w:hAnsi="Times New Roman" w:cs="Times New Roman"/>
          <w:sz w:val="24"/>
          <w:szCs w:val="24"/>
        </w:rPr>
        <w:t xml:space="preserve">se déroule presque entièrement au </w:t>
      </w:r>
      <w:r w:rsidR="00A73A7B">
        <w:rPr>
          <w:rFonts w:ascii="Times New Roman" w:hAnsi="Times New Roman" w:cs="Times New Roman"/>
          <w:sz w:val="24"/>
          <w:szCs w:val="24"/>
        </w:rPr>
        <w:t xml:space="preserve">niveau du foie. </w:t>
      </w:r>
      <w:r w:rsidR="006924DB">
        <w:rPr>
          <w:rFonts w:ascii="Times New Roman" w:hAnsi="Times New Roman" w:cs="Times New Roman"/>
          <w:sz w:val="24"/>
          <w:szCs w:val="24"/>
        </w:rPr>
        <w:t xml:space="preserve">En cas d'insuffisance hépatique, ce processus métabolique est perturbé et, </w:t>
      </w:r>
      <w:r w:rsidR="00BA0C78">
        <w:rPr>
          <w:rFonts w:ascii="Times New Roman" w:hAnsi="Times New Roman" w:cs="Times New Roman"/>
          <w:sz w:val="24"/>
          <w:szCs w:val="24"/>
        </w:rPr>
        <w:t xml:space="preserve">à l' </w:t>
      </w:r>
      <w:r w:rsidR="006924DB">
        <w:rPr>
          <w:rFonts w:ascii="Times New Roman" w:hAnsi="Times New Roman" w:cs="Times New Roman"/>
          <w:sz w:val="24"/>
          <w:szCs w:val="24"/>
        </w:rPr>
        <w:t>,</w:t>
      </w:r>
      <w:r w:rsidR="00BA0C78">
        <w:rPr>
          <w:rFonts w:ascii="Times New Roman" w:hAnsi="Times New Roman" w:cs="Times New Roman"/>
          <w:sz w:val="24"/>
          <w:szCs w:val="24"/>
        </w:rPr>
        <w:t xml:space="preserve"> il </w:t>
      </w:r>
      <w:r w:rsidR="006924DB">
        <w:rPr>
          <w:rFonts w:ascii="Times New Roman" w:hAnsi="Times New Roman" w:cs="Times New Roman"/>
          <w:sz w:val="24"/>
          <w:szCs w:val="24"/>
        </w:rPr>
        <w:t xml:space="preserve">y a une carence en NADPH. </w:t>
      </w:r>
      <w:r w:rsidR="00A73A7B">
        <w:rPr>
          <w:rFonts w:ascii="Times New Roman" w:hAnsi="Times New Roman" w:cs="Times New Roman"/>
          <w:sz w:val="24"/>
          <w:szCs w:val="24"/>
        </w:rPr>
        <w:t>Un</w:t>
      </w:r>
      <w:r w:rsidR="00BA0C78">
        <w:rPr>
          <w:rFonts w:ascii="Times New Roman" w:hAnsi="Times New Roman" w:cs="Times New Roman"/>
          <w:sz w:val="24"/>
          <w:szCs w:val="24"/>
        </w:rPr>
        <w:t xml:space="preserve"> autre </w:t>
      </w:r>
      <w:r w:rsidR="00A73A7B">
        <w:rPr>
          <w:rFonts w:ascii="Times New Roman" w:hAnsi="Times New Roman" w:cs="Times New Roman"/>
          <w:sz w:val="24"/>
          <w:szCs w:val="24"/>
        </w:rPr>
        <w:t xml:space="preserve">blocage se produit au niveau de l'implication de l'acétyl-CoA dans </w:t>
      </w:r>
      <w:r w:rsidR="00A73A7B" w:rsidRPr="00BA0C78">
        <w:rPr>
          <w:rFonts w:ascii="Times New Roman" w:hAnsi="Times New Roman" w:cs="Times New Roman"/>
          <w:sz w:val="24"/>
          <w:szCs w:val="24"/>
          <w:lang w:val="en-GB"/>
        </w:rPr>
        <w:t xml:space="preserve">le cycle de Krebs en raison d'une carence en oxaloacétate (première réaction du cycle de Krebs) due à une diminution de la glycolyse dans le foie. </w:t>
      </w:r>
      <w:r w:rsidR="00000145" w:rsidRPr="00BA0C78">
        <w:rPr>
          <w:rFonts w:ascii="Times New Roman" w:hAnsi="Times New Roman" w:cs="Times New Roman"/>
          <w:sz w:val="24"/>
          <w:szCs w:val="24"/>
          <w:lang w:val="en-GB"/>
        </w:rPr>
        <w:t xml:space="preserve">Enfin, il y a une accumulation d'acétyl-CoA. </w:t>
      </w:r>
      <w:r w:rsidR="00BA0C78" w:rsidRPr="00BA0C78">
        <w:rPr>
          <w:rFonts w:ascii="Times New Roman" w:hAnsi="Times New Roman" w:cs="Times New Roman"/>
          <w:sz w:val="24"/>
          <w:szCs w:val="24"/>
          <w:lang w:val="en-GB"/>
        </w:rPr>
        <w:t>Au départ</w:t>
      </w:r>
      <w:r w:rsidR="00000145" w:rsidRPr="00BA0C78">
        <w:rPr>
          <w:rFonts w:ascii="Times New Roman" w:hAnsi="Times New Roman" w:cs="Times New Roman"/>
          <w:sz w:val="24"/>
          <w:szCs w:val="24"/>
          <w:lang w:val="en-GB"/>
        </w:rPr>
        <w:t xml:space="preserve">, </w:t>
      </w:r>
      <w:r w:rsidR="00000145" w:rsidRPr="00BA0C78">
        <w:rPr>
          <w:rFonts w:ascii="Times New Roman" w:eastAsia="Calibri" w:hAnsi="Times New Roman" w:cs="Times New Roman"/>
          <w:sz w:val="24"/>
          <w:szCs w:val="24"/>
          <w:lang w:val="en-GB"/>
        </w:rPr>
        <w:t xml:space="preserve">à partir de 2 molécules d'acétyl-CoA, l'acétoacétyl-CoA est </w:t>
      </w:r>
      <w:r w:rsidR="00BA0C78" w:rsidRPr="00BA0C78">
        <w:rPr>
          <w:rFonts w:ascii="Times New Roman" w:eastAsia="Calibri" w:hAnsi="Times New Roman" w:cs="Times New Roman"/>
          <w:sz w:val="24"/>
          <w:szCs w:val="24"/>
          <w:lang w:val="en-GB"/>
        </w:rPr>
        <w:t>synthétisé</w:t>
      </w:r>
      <w:r w:rsidR="00000145" w:rsidRPr="00BA0C78">
        <w:rPr>
          <w:rFonts w:ascii="Times New Roman" w:eastAsia="Calibri" w:hAnsi="Times New Roman" w:cs="Times New Roman"/>
          <w:sz w:val="24"/>
          <w:szCs w:val="24"/>
          <w:lang w:val="en-GB"/>
        </w:rPr>
        <w:t xml:space="preserve">. Enfin, l'ajout </w:t>
      </w:r>
      <w:r w:rsidR="00BA0C78">
        <w:rPr>
          <w:rFonts w:ascii="Times New Roman" w:eastAsia="Calibri" w:hAnsi="Times New Roman" w:cs="Times New Roman"/>
          <w:sz w:val="24"/>
          <w:szCs w:val="24"/>
          <w:lang w:val="en-GB"/>
        </w:rPr>
        <w:t xml:space="preserve">d'une molécule supplémentaire d'acétyl-CoA </w:t>
      </w:r>
      <w:r w:rsidR="00000145" w:rsidRPr="00BA0C78">
        <w:rPr>
          <w:rFonts w:ascii="Times New Roman" w:eastAsia="Calibri" w:hAnsi="Times New Roman" w:cs="Times New Roman"/>
          <w:sz w:val="24"/>
          <w:szCs w:val="24"/>
          <w:lang w:val="en-GB"/>
        </w:rPr>
        <w:t>est transformé en</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 xml:space="preserve"> -oxi-</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 xml:space="preserve"> -méthylglutaril-CoA, qui est </w:t>
      </w:r>
      <w:r w:rsidR="00000145" w:rsidRPr="00BA0C78">
        <w:rPr>
          <w:rFonts w:ascii="Times New Roman" w:hAnsi="Times New Roman" w:cs="Times New Roman"/>
          <w:sz w:val="24"/>
          <w:szCs w:val="24"/>
          <w:lang w:val="en-GB"/>
        </w:rPr>
        <w:t xml:space="preserve">décomposé </w:t>
      </w:r>
      <w:r w:rsidR="00BA0C78">
        <w:rPr>
          <w:rFonts w:ascii="Times New Roman" w:eastAsia="Calibri" w:hAnsi="Times New Roman" w:cs="Times New Roman"/>
          <w:sz w:val="24"/>
          <w:szCs w:val="24"/>
          <w:lang w:val="en-GB"/>
        </w:rPr>
        <w:t xml:space="preserve">en </w:t>
      </w:r>
      <w:r w:rsidR="00000145" w:rsidRPr="00BA0C78">
        <w:rPr>
          <w:rFonts w:ascii="Times New Roman" w:eastAsia="Calibri" w:hAnsi="Times New Roman" w:cs="Times New Roman"/>
          <w:sz w:val="24"/>
          <w:szCs w:val="24"/>
          <w:lang w:val="en-GB"/>
        </w:rPr>
        <w:t xml:space="preserve">acétyl-CoA et en </w:t>
      </w:r>
      <w:r w:rsidR="00BA0C78">
        <w:rPr>
          <w:rFonts w:ascii="Times New Roman" w:eastAsia="Calibri" w:hAnsi="Times New Roman" w:cs="Times New Roman"/>
          <w:sz w:val="24"/>
          <w:szCs w:val="24"/>
          <w:lang w:val="en-GB"/>
        </w:rPr>
        <w:t xml:space="preserve">acide acétylacétique. </w:t>
      </w:r>
      <w:r w:rsidR="00000145" w:rsidRPr="00BA0C78">
        <w:rPr>
          <w:rFonts w:ascii="Times New Roman" w:eastAsia="Calibri" w:hAnsi="Times New Roman" w:cs="Times New Roman"/>
          <w:sz w:val="24"/>
          <w:szCs w:val="24"/>
          <w:lang w:val="en-GB"/>
        </w:rPr>
        <w:t>L'acide</w:t>
      </w:r>
      <w:r w:rsidR="00BA0C78">
        <w:rPr>
          <w:rFonts w:ascii="Times New Roman" w:eastAsia="Calibri" w:hAnsi="Times New Roman" w:cs="Times New Roman"/>
          <w:sz w:val="24"/>
          <w:szCs w:val="24"/>
          <w:lang w:val="en-GB"/>
        </w:rPr>
        <w:t xml:space="preserve"> acétylacétique</w:t>
      </w:r>
      <w:r w:rsidR="00000145" w:rsidRPr="00BA0C78">
        <w:rPr>
          <w:rFonts w:ascii="Times New Roman" w:eastAsia="Calibri" w:hAnsi="Times New Roman" w:cs="Times New Roman"/>
          <w:sz w:val="24"/>
          <w:szCs w:val="24"/>
          <w:lang w:val="en-GB"/>
        </w:rPr>
        <w:t>, par réduction, forme de l'</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 xml:space="preserve"> -oxibutyrique et, par décarboxylation, de l'acétone</w:t>
      </w:r>
      <w:r w:rsidR="00000145" w:rsidRPr="00BA0C78">
        <w:rPr>
          <w:rFonts w:ascii="Times New Roman" w:eastAsia="Calibri" w:hAnsi="Times New Roman" w:cs="Times New Roman"/>
          <w:b/>
          <w:sz w:val="24"/>
          <w:szCs w:val="24"/>
          <w:lang w:val="en-GB"/>
        </w:rPr>
        <w:t xml:space="preserve">.    </w:t>
      </w:r>
      <w:r w:rsidR="00BA0C78">
        <w:rPr>
          <w:rFonts w:ascii="Times New Roman" w:eastAsia="Calibri" w:hAnsi="Times New Roman" w:cs="Times New Roman"/>
          <w:sz w:val="24"/>
          <w:szCs w:val="24"/>
          <w:lang w:val="en-GB"/>
        </w:rPr>
        <w:t xml:space="preserve"> </w:t>
      </w:r>
      <w:r w:rsidR="0096774F" w:rsidRPr="00BA0C78">
        <w:rPr>
          <w:rFonts w:ascii="Times New Roman" w:hAnsi="Times New Roman" w:cs="Times New Roman"/>
          <w:sz w:val="24"/>
          <w:szCs w:val="24"/>
          <w:lang w:val="en-GB"/>
        </w:rPr>
        <w:t xml:space="preserve">L'accumulation de corps cétoniques </w:t>
      </w:r>
      <w:r w:rsidR="00A73A7B" w:rsidRPr="00BA0C78">
        <w:rPr>
          <w:rFonts w:ascii="Times New Roman" w:hAnsi="Times New Roman" w:cs="Times New Roman"/>
          <w:sz w:val="24"/>
          <w:szCs w:val="24"/>
          <w:lang w:val="en-GB"/>
        </w:rPr>
        <w:t xml:space="preserve">fait dévier </w:t>
      </w:r>
      <w:r w:rsidR="0096774F" w:rsidRPr="00BA0C78">
        <w:rPr>
          <w:rFonts w:ascii="Times New Roman" w:hAnsi="Times New Roman" w:cs="Times New Roman"/>
          <w:sz w:val="24"/>
          <w:szCs w:val="24"/>
          <w:lang w:val="en-GB"/>
        </w:rPr>
        <w:t xml:space="preserve">le pH sanguin vers l'acidose avec développement d'une acidocétose. </w:t>
      </w:r>
      <w:r w:rsidR="00A73A7B" w:rsidRPr="00BA0C78">
        <w:rPr>
          <w:rFonts w:ascii="Times New Roman" w:hAnsi="Times New Roman" w:cs="Times New Roman"/>
          <w:sz w:val="24"/>
          <w:szCs w:val="24"/>
          <w:lang w:val="en-GB"/>
        </w:rPr>
        <w:t xml:space="preserve">Les corps cétoniques affectent les cellules cérébrales en bloquant les enzymes (hexokinases) qui bloquent à leur tour l'utilisation du glucose dans les neurones. Il en résulte une importante symptomatologie nerveuse. </w:t>
      </w:r>
    </w:p>
    <w:p w14:paraId="7416EB11" w14:textId="77777777" w:rsidR="00F422C5" w:rsidRPr="00F422C5" w:rsidRDefault="00F422C5" w:rsidP="00F422C5">
      <w:pPr>
        <w:ind w:firstLine="708"/>
        <w:jc w:val="both"/>
        <w:rPr>
          <w:rFonts w:ascii="Times New Roman" w:hAnsi="Times New Roman" w:cs="Times New Roman"/>
          <w:i/>
          <w:sz w:val="24"/>
          <w:szCs w:val="24"/>
        </w:rPr>
      </w:pPr>
      <w:r w:rsidRPr="00BA0C78">
        <w:rPr>
          <w:rFonts w:ascii="Times New Roman" w:hAnsi="Times New Roman" w:cs="Times New Roman"/>
          <w:i/>
          <w:sz w:val="24"/>
          <w:szCs w:val="24"/>
          <w:lang w:val="en-GB"/>
        </w:rPr>
        <w:t xml:space="preserve">Perturbations de l'équilibre hydro-électrolytique et du pH. </w:t>
      </w:r>
      <w:r w:rsidRPr="00BA0C78">
        <w:rPr>
          <w:rFonts w:ascii="Times New Roman" w:hAnsi="Times New Roman" w:cs="Times New Roman"/>
          <w:sz w:val="24"/>
          <w:szCs w:val="24"/>
          <w:lang w:val="en-GB"/>
        </w:rPr>
        <w:t>Les lésions au niveau de la membrane des hépatocytes entraînent une fuite d'ions K</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avec hyperkaliémie. Les ions Na</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et H</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pénètrent dans les cellules hépatiques, tandis que </w:t>
      </w:r>
      <w:r w:rsidRPr="00BA0C78">
        <w:rPr>
          <w:rFonts w:ascii="Times New Roman" w:hAnsi="Times New Roman" w:cs="Times New Roman"/>
          <w:sz w:val="24"/>
          <w:szCs w:val="24"/>
          <w:vertAlign w:val="superscript"/>
          <w:lang w:val="en-GB"/>
        </w:rPr>
        <w:t>les</w:t>
      </w:r>
      <w:r w:rsidRPr="00BA0C78">
        <w:rPr>
          <w:rFonts w:ascii="Times New Roman" w:hAnsi="Times New Roman" w:cs="Times New Roman"/>
          <w:sz w:val="24"/>
          <w:szCs w:val="24"/>
          <w:lang w:val="en-GB"/>
        </w:rPr>
        <w:t>ions K</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sont éliminés dans l'urine. Enfin, une hypokaliémie avec alcalose se développe. Ce phénomène est aggravé par l'hypovolémie (œdème, ascite), qui active le système rénine-angiotensine-aldostérone, ce qui entraîne en outre une rétention d'ions sodium avec hypernatrémie et une perte d'ions potassium et hydrogène</w:t>
      </w:r>
      <w:r>
        <w:rPr>
          <w:rFonts w:ascii="Times New Roman" w:hAnsi="Times New Roman" w:cs="Times New Roman"/>
          <w:sz w:val="24"/>
          <w:szCs w:val="24"/>
        </w:rPr>
        <w:t xml:space="preserve">. À cela s'ajoutent les effets de l'hyperaldostéronisme secondaire (dû à une déficience dans la dégradation de l'aldostérone dans le foie). Il convient de mentionner que le niveau de natriémie ne reflète pas fidèlement le niveau de rétention de sodium, car les ions sodium pénètrent dans les cellules.  </w:t>
      </w:r>
    </w:p>
    <w:p w14:paraId="2E44D739" w14:textId="77777777" w:rsidR="00F422C5" w:rsidRDefault="00F422C5" w:rsidP="00F422C5">
      <w:pPr>
        <w:ind w:firstLine="708"/>
        <w:jc w:val="both"/>
        <w:rPr>
          <w:rFonts w:ascii="Times New Roman" w:hAnsi="Times New Roman" w:cs="Times New Roman"/>
          <w:sz w:val="24"/>
          <w:szCs w:val="24"/>
        </w:rPr>
      </w:pPr>
      <w:r>
        <w:rPr>
          <w:rFonts w:ascii="Times New Roman" w:hAnsi="Times New Roman" w:cs="Times New Roman"/>
          <w:sz w:val="24"/>
          <w:szCs w:val="24"/>
        </w:rPr>
        <w:t xml:space="preserve">L'équilibre phospho-calcique est également affecté. On observe une hypocalcémie caractéristique due à une déficience en sérine, qui fixe et transporte jusqu'à 40 % du calcium sanguin ; une déficience alimentaire due à l'anorexie caractéristique de l'insuffisance hépatique ; un défaut d'absorption du calcium dû à une diminution de la sécrétion d'HCl dans l'estomac, une insuffisance pancréatique ; l'incapacité du foie à convertir le calciphérol en cholécalciphérol. </w:t>
      </w:r>
    </w:p>
    <w:p w14:paraId="22017CDA" w14:textId="77777777" w:rsidR="00484FB0" w:rsidRDefault="00F422C5" w:rsidP="00F422C5">
      <w:pPr>
        <w:ind w:firstLine="708"/>
        <w:jc w:val="both"/>
        <w:rPr>
          <w:rFonts w:ascii="Times New Roman" w:hAnsi="Times New Roman" w:cs="Times New Roman"/>
          <w:sz w:val="24"/>
          <w:szCs w:val="24"/>
        </w:rPr>
      </w:pPr>
      <w:r>
        <w:rPr>
          <w:rFonts w:ascii="Times New Roman" w:hAnsi="Times New Roman" w:cs="Times New Roman"/>
          <w:sz w:val="24"/>
          <w:szCs w:val="24"/>
        </w:rPr>
        <w:t xml:space="preserve">Chez les patients atteints d'insuffisance hépatique, le volume total d'eau dans l'organisme est augmenté, en particulier au niveau de la circulation veineuse, en raison d'un hyperaldostéronisme (absolu et relatif) ainsi que d'une augmentation du taux d'ADH. </w:t>
      </w:r>
    </w:p>
    <w:p w14:paraId="2E1F7430" w14:textId="77777777" w:rsidR="00F422C5" w:rsidRPr="00484FB0" w:rsidRDefault="00484FB0" w:rsidP="00F422C5">
      <w:pPr>
        <w:ind w:firstLine="708"/>
        <w:jc w:val="both"/>
        <w:rPr>
          <w:rFonts w:ascii="Times New Roman" w:hAnsi="Times New Roman" w:cs="Times New Roman"/>
          <w:sz w:val="24"/>
          <w:szCs w:val="24"/>
        </w:rPr>
      </w:pPr>
      <w:r w:rsidRPr="00484FB0">
        <w:rPr>
          <w:rFonts w:ascii="Times New Roman" w:hAnsi="Times New Roman" w:cs="Times New Roman"/>
          <w:sz w:val="24"/>
          <w:szCs w:val="24"/>
        </w:rPr>
        <w:t>Au stade précoce de l'insuffisance hépatique, une alcalose métabolique peut se développer, expliquée par des perturbations ioniques : afflux d'ions H</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et Na</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dans les cellules associé à une augmentation de l'excrétion de K</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 H</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 Cl</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au niveau des glomérules rénaux.  L'alcalose peut également être due à l'incapacité du foie à éliminer les valences alcalines avec la bile. </w:t>
      </w:r>
      <w:r w:rsidR="008542B9">
        <w:rPr>
          <w:rFonts w:ascii="Times New Roman" w:hAnsi="Times New Roman" w:cs="Times New Roman"/>
          <w:sz w:val="24"/>
          <w:szCs w:val="24"/>
        </w:rPr>
        <w:t xml:space="preserve">Généralement, une augmentation du taux d'ammoniac dans le sang est associée à l'alcalose. </w:t>
      </w:r>
      <w:r w:rsidRPr="00484FB0">
        <w:rPr>
          <w:rFonts w:ascii="Times New Roman" w:hAnsi="Times New Roman" w:cs="Times New Roman"/>
          <w:sz w:val="24"/>
          <w:szCs w:val="24"/>
        </w:rPr>
        <w:t>À un stade avancé, l'acidose métabolique est caractéristique et s'explique par des troubles métaboliques avec accumulation d'acide lactique, d'acide pyruvique et de corps cétoniques dans le sang.</w:t>
      </w:r>
    </w:p>
    <w:p w14:paraId="07B929BC" w14:textId="77777777" w:rsidR="006763CC" w:rsidRDefault="00F422C5" w:rsidP="008B45C6">
      <w:pPr>
        <w:autoSpaceDE w:val="0"/>
        <w:autoSpaceDN w:val="0"/>
        <w:adjustRightInd w:val="0"/>
        <w:spacing w:after="0"/>
        <w:ind w:firstLine="720"/>
        <w:jc w:val="both"/>
        <w:rPr>
          <w:rFonts w:ascii="Times New Roman" w:hAnsi="Times New Roman" w:cs="Times New Roman"/>
          <w:sz w:val="24"/>
          <w:szCs w:val="24"/>
        </w:rPr>
      </w:pPr>
      <w:r w:rsidRPr="00CD7853">
        <w:rPr>
          <w:rFonts w:ascii="Times New Roman" w:hAnsi="Times New Roman" w:cs="Times New Roman"/>
          <w:i/>
          <w:sz w:val="24"/>
          <w:szCs w:val="24"/>
        </w:rPr>
        <w:t>Troubles</w:t>
      </w:r>
      <w:r w:rsidR="00207109">
        <w:rPr>
          <w:rFonts w:ascii="Times New Roman" w:hAnsi="Times New Roman" w:cs="Times New Roman"/>
          <w:i/>
          <w:sz w:val="24"/>
          <w:szCs w:val="24"/>
        </w:rPr>
        <w:t xml:space="preserve"> hématologiques</w:t>
      </w:r>
      <w:r w:rsidRPr="00CD7853">
        <w:rPr>
          <w:rFonts w:ascii="Times New Roman" w:hAnsi="Times New Roman" w:cs="Times New Roman"/>
          <w:sz w:val="24"/>
          <w:szCs w:val="24"/>
        </w:rPr>
        <w:t>. L'insuffisance hépatique peut provoquer une anémie, une thrombocytopénie, des troubles de la coagulation et une leucopénie. L'anémie peut être causée par une perte de sang, une destruction excessive des globules rouges et une altération de la formation des globules rouges. Une carence en acide folique peut entraîner une anémie mégaloblastique sévère. Les modifications de la composition lipidique de la membrane des globules rouges augmentent l'hémolyse. Les facteurs V, VII, IX, X, la prothrombine et le fibrinogène étant synthétisés par le foie, leur diminution en cas de maladie hépatique contribue à des troubles de la coagulation. La malabsorption de la vitamine K liposoluble contribue également à la synthèse altérée de ces facteurs de coagulation. La thrombocytopénie survient souvent à la suite d'une splénomégalie. Les personnes atteintes d'insuffisance hépatique sont sujettes à la purpura, aux ecchymoses, à l'hématurie, à l' e et aux saignements menstruels anormaux, et sont vulnérables aux saignements de l'œsophage et d'autres segments du tractus gastro-intestinal.</w:t>
      </w:r>
    </w:p>
    <w:p w14:paraId="6582D208" w14:textId="77777777" w:rsidR="00F422C5" w:rsidRPr="00F422C5" w:rsidRDefault="00F422C5" w:rsidP="00F422C5">
      <w:pPr>
        <w:ind w:firstLine="708"/>
        <w:jc w:val="both"/>
        <w:rPr>
          <w:rFonts w:ascii="Times New Roman" w:hAnsi="Times New Roman" w:cs="Times New Roman"/>
          <w:b/>
          <w:color w:val="FF0000"/>
          <w:sz w:val="24"/>
          <w:szCs w:val="24"/>
        </w:rPr>
      </w:pPr>
      <w:r w:rsidRPr="00D00BD6">
        <w:rPr>
          <w:rFonts w:ascii="Times New Roman" w:hAnsi="Times New Roman" w:cs="Times New Roman"/>
          <w:i/>
          <w:sz w:val="24"/>
          <w:szCs w:val="24"/>
        </w:rPr>
        <w:t>Troubles</w:t>
      </w:r>
      <w:r w:rsidRPr="00F422C5">
        <w:rPr>
          <w:rFonts w:ascii="Times New Roman" w:hAnsi="Times New Roman" w:cs="Times New Roman"/>
          <w:i/>
          <w:sz w:val="24"/>
          <w:szCs w:val="24"/>
        </w:rPr>
        <w:t xml:space="preserve"> hormonaux</w:t>
      </w:r>
      <w:r w:rsidRPr="00D00BD6">
        <w:rPr>
          <w:rFonts w:ascii="Times New Roman" w:hAnsi="Times New Roman" w:cs="Times New Roman"/>
          <w:b/>
          <w:sz w:val="24"/>
          <w:szCs w:val="24"/>
        </w:rPr>
        <w:t xml:space="preserve">. </w:t>
      </w:r>
      <w:r>
        <w:rPr>
          <w:rFonts w:ascii="Times New Roman" w:hAnsi="Times New Roman" w:cs="Times New Roman"/>
          <w:sz w:val="24"/>
          <w:szCs w:val="24"/>
        </w:rPr>
        <w:t xml:space="preserve">L'insuffisance hépatique entraîne un déséquilibre hormonal résultant d'une diminution de la capacité du foie à dégrader les hormones. L'hyperestrogénie entraîne des troubles menstruels, une diminution de la libido, l'impuissance, une répartition des poils de type féminin, une atrophie testiculaire, </w:t>
      </w:r>
      <w:r w:rsidR="00D00BD6">
        <w:rPr>
          <w:rFonts w:ascii="Times New Roman" w:hAnsi="Times New Roman" w:cs="Times New Roman"/>
          <w:sz w:val="24"/>
          <w:szCs w:val="24"/>
        </w:rPr>
        <w:t>une gynécomastie</w:t>
      </w:r>
      <w:r>
        <w:rPr>
          <w:rFonts w:ascii="Times New Roman" w:hAnsi="Times New Roman" w:cs="Times New Roman"/>
          <w:sz w:val="24"/>
          <w:szCs w:val="24"/>
        </w:rPr>
        <w:t xml:space="preserve">, un érythème palmaire et des varicosités (au niveau des ouvertures des shunts périphériques). L'insuffisance de l'inactivation des </w:t>
      </w:r>
      <w:r w:rsidR="00193AA0">
        <w:rPr>
          <w:rFonts w:ascii="Times New Roman" w:hAnsi="Times New Roman" w:cs="Times New Roman"/>
          <w:sz w:val="24"/>
          <w:szCs w:val="24"/>
        </w:rPr>
        <w:t>hormones</w:t>
      </w:r>
      <w:r>
        <w:rPr>
          <w:rFonts w:ascii="Times New Roman" w:hAnsi="Times New Roman" w:cs="Times New Roman"/>
          <w:sz w:val="24"/>
          <w:szCs w:val="24"/>
        </w:rPr>
        <w:t xml:space="preserve"> surrénales </w:t>
      </w:r>
      <w:r w:rsidR="00193AA0">
        <w:rPr>
          <w:rFonts w:ascii="Times New Roman" w:hAnsi="Times New Roman" w:cs="Times New Roman"/>
          <w:sz w:val="24"/>
          <w:szCs w:val="24"/>
        </w:rPr>
        <w:t>entraîne un hirsutisme, de l'acné</w:t>
      </w:r>
      <w:r>
        <w:rPr>
          <w:rFonts w:ascii="Times New Roman" w:hAnsi="Times New Roman" w:cs="Times New Roman"/>
          <w:sz w:val="24"/>
          <w:szCs w:val="24"/>
        </w:rPr>
        <w:t xml:space="preserve">, des vergetures abdominales et un visage « lunaire ». L'hyperaldostéronisme entraîne une rétention de sel et d'eau (hypernatrémie) avec hypokaliémie et alcalose. La rétention d'ADH entraîne une hypervolémie et contribue secondairement à l'œdème et à l'ascite. </w:t>
      </w:r>
    </w:p>
    <w:p w14:paraId="66C07AB5" w14:textId="77777777" w:rsidR="00F422C5" w:rsidRPr="00CD7853" w:rsidRDefault="00F422C5" w:rsidP="00F422C5">
      <w:pPr>
        <w:autoSpaceDE w:val="0"/>
        <w:autoSpaceDN w:val="0"/>
        <w:adjustRightInd w:val="0"/>
        <w:spacing w:after="0"/>
        <w:ind w:firstLine="720"/>
        <w:jc w:val="both"/>
        <w:rPr>
          <w:rFonts w:ascii="Times New Roman" w:hAnsi="Times New Roman" w:cs="Times New Roman"/>
          <w:sz w:val="24"/>
          <w:szCs w:val="24"/>
        </w:rPr>
      </w:pPr>
      <w:r w:rsidRPr="00CD7853">
        <w:rPr>
          <w:rFonts w:ascii="Times New Roman" w:hAnsi="Times New Roman" w:cs="Times New Roman"/>
          <w:i/>
          <w:sz w:val="24"/>
          <w:szCs w:val="24"/>
        </w:rPr>
        <w:t>Troubles cutanés</w:t>
      </w:r>
      <w:r w:rsidRPr="00CD7853">
        <w:rPr>
          <w:rFonts w:ascii="Times New Roman" w:hAnsi="Times New Roman" w:cs="Times New Roman"/>
          <w:sz w:val="24"/>
          <w:szCs w:val="24"/>
        </w:rPr>
        <w:t>. L'insuffisance hépatique entraîne de nombreux troubles cutanés. Ces lésions, appelées de diverses manières araignées vasculaires, télangiectasies, angiomes stellaires et naevus stellaires, sont le plus souvent observées dans la moitié supérieure du corps. Elles consistent en une artériole centrale pulsatile à partir de laquelle rayonnent des vaisseaux plus petits. L'érythème palmaire est une rougeur des paumes, probablement causée par une augmentation du débit sanguin due à une augmentation du débit cardiaque. Un clubbing des doigts peut être observé chez les personnes atteintes de cirrhose.</w:t>
      </w:r>
    </w:p>
    <w:p w14:paraId="013070FC" w14:textId="77777777" w:rsidR="00F422C5" w:rsidRDefault="00F422C5" w:rsidP="0030381E">
      <w:pPr>
        <w:autoSpaceDE w:val="0"/>
        <w:autoSpaceDN w:val="0"/>
        <w:adjustRightInd w:val="0"/>
        <w:spacing w:after="0"/>
        <w:jc w:val="both"/>
        <w:rPr>
          <w:rFonts w:ascii="Times New Roman" w:hAnsi="Times New Roman" w:cs="Times New Roman"/>
          <w:sz w:val="24"/>
          <w:szCs w:val="24"/>
        </w:rPr>
      </w:pPr>
      <w:r w:rsidRPr="00CD7853">
        <w:rPr>
          <w:rFonts w:ascii="Times New Roman" w:hAnsi="Times New Roman" w:cs="Times New Roman"/>
          <w:sz w:val="24"/>
          <w:szCs w:val="24"/>
        </w:rPr>
        <w:t>La jaunisse est généralement une manifestation tardive de l'insuffisance hépatique.</w:t>
      </w:r>
    </w:p>
    <w:p w14:paraId="3A6B375C" w14:textId="77777777" w:rsidR="00F422C5" w:rsidRPr="00F422C5" w:rsidRDefault="0068670F" w:rsidP="0068670F">
      <w:pPr>
        <w:pStyle w:val="Listparagraf"/>
        <w:ind w:left="-142" w:firstLine="850"/>
        <w:jc w:val="both"/>
        <w:rPr>
          <w:rFonts w:ascii="Times New Roman" w:hAnsi="Times New Roman" w:cs="Times New Roman"/>
          <w:sz w:val="24"/>
          <w:szCs w:val="24"/>
        </w:rPr>
      </w:pPr>
      <w:r w:rsidRPr="00CD7853">
        <w:rPr>
          <w:rFonts w:ascii="Times New Roman" w:hAnsi="Times New Roman" w:cs="Times New Roman"/>
          <w:i/>
          <w:sz w:val="24"/>
          <w:szCs w:val="24"/>
        </w:rPr>
        <w:t xml:space="preserve">Le fétor hépatique </w:t>
      </w:r>
      <w:r w:rsidRPr="00CD7853">
        <w:rPr>
          <w:rFonts w:ascii="Times New Roman" w:hAnsi="Times New Roman" w:cs="Times New Roman"/>
          <w:sz w:val="24"/>
          <w:szCs w:val="24"/>
        </w:rPr>
        <w:t>désigne une odeur caractéristique de moisi et de sucré dans l'haleine des patients atteints d'insuffisance hépatique avancée</w:t>
      </w:r>
      <w:r>
        <w:rPr>
          <w:rFonts w:ascii="Times New Roman" w:hAnsi="Times New Roman" w:cs="Times New Roman"/>
          <w:sz w:val="24"/>
          <w:szCs w:val="24"/>
        </w:rPr>
        <w:t xml:space="preserve">. </w:t>
      </w:r>
      <w:r w:rsidRPr="0068670F">
        <w:rPr>
          <w:rFonts w:ascii="Times New Roman" w:hAnsi="Times New Roman" w:cs="Times New Roman"/>
          <w:sz w:val="24"/>
          <w:szCs w:val="24"/>
        </w:rPr>
        <w:t xml:space="preserve">Le fétor hépatique </w:t>
      </w:r>
      <w:r>
        <w:rPr>
          <w:rFonts w:ascii="Times New Roman" w:hAnsi="Times New Roman" w:cs="Times New Roman"/>
          <w:sz w:val="24"/>
          <w:szCs w:val="24"/>
        </w:rPr>
        <w:t xml:space="preserve">est dû à l'expiration de mercaptans produits dans le gros intestin sous l'influence de la microflore sur les acides aminés aromatiques contenant du soufre (méthionine). Les mercaptans, principalement </w:t>
      </w:r>
      <w:r w:rsidRPr="0068670F">
        <w:rPr>
          <w:rFonts w:ascii="Times New Roman" w:hAnsi="Times New Roman" w:cs="Times New Roman"/>
          <w:i/>
          <w:sz w:val="24"/>
          <w:szCs w:val="24"/>
        </w:rPr>
        <w:t xml:space="preserve">le méthylmercaptan </w:t>
      </w:r>
      <w:r>
        <w:rPr>
          <w:rFonts w:ascii="Times New Roman" w:hAnsi="Times New Roman" w:cs="Times New Roman"/>
          <w:sz w:val="24"/>
          <w:szCs w:val="24"/>
        </w:rPr>
        <w:t xml:space="preserve">et </w:t>
      </w:r>
      <w:r w:rsidRPr="0068670F">
        <w:rPr>
          <w:rFonts w:ascii="Times New Roman" w:hAnsi="Times New Roman" w:cs="Times New Roman"/>
          <w:i/>
          <w:sz w:val="24"/>
          <w:szCs w:val="24"/>
        </w:rPr>
        <w:t>le diméthylsulfure</w:t>
      </w:r>
      <w:r>
        <w:rPr>
          <w:rFonts w:ascii="Times New Roman" w:hAnsi="Times New Roman" w:cs="Times New Roman"/>
          <w:sz w:val="24"/>
          <w:szCs w:val="24"/>
        </w:rPr>
        <w:t xml:space="preserve">, passent dans la circulation systémique par les shunts porto-systémiques et sont expirés dans les poumons.  </w:t>
      </w:r>
    </w:p>
    <w:p w14:paraId="3E3786A9" w14:textId="77777777" w:rsidR="001E205B" w:rsidRDefault="001E205B" w:rsidP="001E205B">
      <w:pPr>
        <w:autoSpaceDE w:val="0"/>
        <w:autoSpaceDN w:val="0"/>
        <w:adjustRightInd w:val="0"/>
        <w:spacing w:after="0"/>
        <w:ind w:firstLine="720"/>
        <w:jc w:val="both"/>
        <w:rPr>
          <w:rFonts w:ascii="Times New Roman" w:hAnsi="Times New Roman" w:cs="Times New Roman"/>
          <w:sz w:val="24"/>
          <w:szCs w:val="24"/>
        </w:rPr>
      </w:pPr>
      <w:r w:rsidRPr="0068670F">
        <w:rPr>
          <w:rFonts w:ascii="Times New Roman" w:hAnsi="Times New Roman" w:cs="Times New Roman"/>
          <w:i/>
          <w:sz w:val="24"/>
          <w:szCs w:val="24"/>
        </w:rPr>
        <w:t xml:space="preserve">Une cholestase </w:t>
      </w:r>
      <w:r w:rsidRPr="001E205B">
        <w:rPr>
          <w:rFonts w:ascii="Times New Roman" w:hAnsi="Times New Roman" w:cs="Times New Roman"/>
          <w:sz w:val="24"/>
          <w:szCs w:val="24"/>
        </w:rPr>
        <w:t>se produit, provoquant non seulement des lésions hépatiques, mais aggravant également toute tendance hémorragique, car le manque de sels biliaires diminue la formation micellaire et, par conséquent, l'absorption de la vitamine K par l'intestin, ce qui réduit la carboxylation des facteurs de coagulation dépendants de la vitamine K, à savoir la prothrombine (II), VII, IX et X.</w:t>
      </w:r>
    </w:p>
    <w:p w14:paraId="7335D636" w14:textId="77777777" w:rsidR="00051B5F" w:rsidRDefault="00051B5F" w:rsidP="001E205B">
      <w:pPr>
        <w:autoSpaceDE w:val="0"/>
        <w:autoSpaceDN w:val="0"/>
        <w:adjustRightInd w:val="0"/>
        <w:spacing w:after="0"/>
        <w:ind w:firstLine="720"/>
        <w:jc w:val="both"/>
        <w:rPr>
          <w:rFonts w:ascii="Times New Roman" w:hAnsi="Times New Roman" w:cs="Times New Roman"/>
          <w:sz w:val="24"/>
          <w:szCs w:val="24"/>
        </w:rPr>
      </w:pPr>
    </w:p>
    <w:p w14:paraId="7367C721" w14:textId="77777777" w:rsidR="0068670F" w:rsidRDefault="002F45B8" w:rsidP="008B45C6">
      <w:pPr>
        <w:autoSpaceDE w:val="0"/>
        <w:autoSpaceDN w:val="0"/>
        <w:adjustRightInd w:val="0"/>
        <w:spacing w:after="0"/>
        <w:ind w:firstLine="708"/>
        <w:jc w:val="both"/>
        <w:rPr>
          <w:rFonts w:ascii="Times New Roman" w:hAnsi="Times New Roman" w:cs="Times New Roman"/>
          <w:sz w:val="24"/>
          <w:szCs w:val="24"/>
        </w:rPr>
      </w:pPr>
      <w:r w:rsidRPr="006763CC">
        <w:rPr>
          <w:rFonts w:ascii="Times New Roman" w:hAnsi="Times New Roman" w:cs="Times New Roman"/>
          <w:b/>
          <w:sz w:val="24"/>
          <w:szCs w:val="24"/>
        </w:rPr>
        <w:t xml:space="preserve">Encéphalopathie hépatique </w:t>
      </w:r>
      <w:r>
        <w:rPr>
          <w:rFonts w:ascii="Times New Roman" w:hAnsi="Times New Roman" w:cs="Times New Roman"/>
          <w:b/>
          <w:i/>
          <w:sz w:val="24"/>
          <w:szCs w:val="24"/>
        </w:rPr>
        <w:t>(coma hépatique)</w:t>
      </w:r>
      <w:r w:rsidRPr="00CD7853">
        <w:rPr>
          <w:rFonts w:ascii="Times New Roman" w:hAnsi="Times New Roman" w:cs="Times New Roman"/>
          <w:sz w:val="24"/>
          <w:szCs w:val="24"/>
        </w:rPr>
        <w:t xml:space="preserve">. L'encéphalopathie hépatique désigne l'ensemble des manifestations de l'insuffisance hépatique au niveau du système nerveux central. </w:t>
      </w:r>
      <w:r>
        <w:rPr>
          <w:rFonts w:ascii="Times New Roman" w:hAnsi="Times New Roman" w:cs="Times New Roman"/>
          <w:sz w:val="24"/>
          <w:szCs w:val="24"/>
        </w:rPr>
        <w:t>Dans l'insuffisance hépatique aiguë, on observe un changement soudain de l'état de conscience, accompagné d'une augmentation de la pression intracrânienne et d'un œdème cérébral massif pouvant entraîner une hernie cérébrale et la mort. Dans l'insuffisance hépatique chronique</w:t>
      </w:r>
      <w:r w:rsidRPr="00CD7853">
        <w:rPr>
          <w:rFonts w:ascii="Times New Roman" w:hAnsi="Times New Roman" w:cs="Times New Roman"/>
          <w:sz w:val="24"/>
          <w:szCs w:val="24"/>
        </w:rPr>
        <w:t xml:space="preserve">, elle se caractérise par des troubles neurologiques allant d'un manque de vivacité mentale à une confusion, un coma et des convulsions. Un signe très précoce de l'encéphalopathie hépatique est un tremblement appelé </w:t>
      </w:r>
      <w:r w:rsidRPr="006763CC">
        <w:rPr>
          <w:rFonts w:ascii="Times New Roman" w:hAnsi="Times New Roman" w:cs="Times New Roman"/>
          <w:i/>
          <w:sz w:val="24"/>
          <w:szCs w:val="24"/>
        </w:rPr>
        <w:t xml:space="preserve">astérixis. </w:t>
      </w:r>
      <w:r w:rsidR="00B843A2" w:rsidRPr="00B843A2">
        <w:rPr>
          <w:rFonts w:ascii="Times New Roman" w:hAnsi="Times New Roman" w:cs="Times New Roman"/>
          <w:i/>
          <w:sz w:val="24"/>
          <w:szCs w:val="24"/>
        </w:rPr>
        <w:t xml:space="preserve">L'astérixis </w:t>
      </w:r>
      <w:r w:rsidR="00B843A2" w:rsidRPr="00B843A2">
        <w:rPr>
          <w:rFonts w:ascii="Times New Roman" w:hAnsi="Times New Roman" w:cs="Times New Roman"/>
          <w:sz w:val="24"/>
          <w:szCs w:val="24"/>
        </w:rPr>
        <w:t>se manifeste par des mouvements non rythmiques et rapides d'extension-flexion de la tête et des extrémités, mieux visibles lorsque les bras sont tendus et les poignets fléchis vers l'arrière.</w:t>
      </w:r>
      <w:r w:rsidR="008B45C6">
        <w:rPr>
          <w:rFonts w:ascii="Times New Roman" w:hAnsi="Times New Roman" w:cs="Times New Roman"/>
          <w:sz w:val="24"/>
          <w:szCs w:val="24"/>
        </w:rPr>
        <w:t xml:space="preserve"> </w:t>
      </w:r>
      <w:r w:rsidRPr="00CD7853">
        <w:rPr>
          <w:rFonts w:ascii="Times New Roman" w:hAnsi="Times New Roman" w:cs="Times New Roman"/>
          <w:sz w:val="24"/>
          <w:szCs w:val="24"/>
        </w:rPr>
        <w:t xml:space="preserve">Une perte de mémoire plus ou moins importante peut survenir, associée à des changements de personnalité tels que l'euphorie, l'irritabilité, l'anxiété et le manque d'intérêt pour l'apparence physique et soi-même. La parole peut être altérée et le patient peut être incapable d'effectuer certains mouvements volontaires. L'encéphalopathie peut évoluer vers une rigidité décérébrée, puis vers un coma profond terminal. </w:t>
      </w:r>
      <w:r w:rsidR="002B4116" w:rsidRPr="00CD7853">
        <w:rPr>
          <w:rFonts w:ascii="Times New Roman" w:hAnsi="Times New Roman" w:cs="Times New Roman"/>
          <w:sz w:val="24"/>
          <w:szCs w:val="24"/>
        </w:rPr>
        <w:t>L'encéphalopathie hépatique se développe chez environ 10 % des personnes présentant des shunts portosystémiques.</w:t>
      </w:r>
    </w:p>
    <w:p w14:paraId="6F4F4462" w14:textId="77777777" w:rsidR="002F45B8" w:rsidRDefault="002F45B8" w:rsidP="002F45B8">
      <w:pPr>
        <w:ind w:firstLine="708"/>
        <w:jc w:val="both"/>
        <w:rPr>
          <w:rFonts w:ascii="Times New Roman" w:hAnsi="Times New Roman" w:cs="Times New Roman"/>
          <w:sz w:val="24"/>
          <w:szCs w:val="24"/>
        </w:rPr>
      </w:pPr>
      <w:r>
        <w:rPr>
          <w:rFonts w:ascii="Times New Roman" w:hAnsi="Times New Roman" w:cs="Times New Roman"/>
          <w:sz w:val="24"/>
          <w:szCs w:val="24"/>
        </w:rPr>
        <w:t>Bien que les mécanismes moléculaires de l'EH ne soient pas clairement connus, plusieurs concepts physiopathologiques tentent de les expliquer.</w:t>
      </w:r>
    </w:p>
    <w:p w14:paraId="4EFF4622" w14:textId="77777777" w:rsidR="002F45B8" w:rsidRDefault="002F45B8" w:rsidP="002F45B8">
      <w:pPr>
        <w:pStyle w:val="Listparagraf"/>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00BD6">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526B7C">
        <w:rPr>
          <w:rFonts w:ascii="Times New Roman" w:hAnsi="Times New Roman" w:cs="Times New Roman"/>
          <w:i/>
          <w:sz w:val="24"/>
          <w:szCs w:val="24"/>
        </w:rPr>
        <w:t>Concept des shunts porto-cavaux</w:t>
      </w:r>
      <w:r>
        <w:rPr>
          <w:rFonts w:ascii="Times New Roman" w:hAnsi="Times New Roman" w:cs="Times New Roman"/>
          <w:sz w:val="24"/>
          <w:szCs w:val="24"/>
        </w:rPr>
        <w:t xml:space="preserve">. Il s'agit de la théorie la plus ancienne, qui tente d'expliquer le développement de l'EH par plusieurs mécanismes : intoxication cérébrale par le sang porte qui contourne le foie et atteint le cerveau sans être détoxifié ; incapacité du foie à détoxifier toutes les substances toxiques du sang porte. </w:t>
      </w:r>
    </w:p>
    <w:p w14:paraId="32325ACC" w14:textId="77777777" w:rsidR="00D00BD6" w:rsidRPr="00D00BD6" w:rsidRDefault="002F45B8" w:rsidP="00D00BD6">
      <w:pPr>
        <w:pStyle w:val="Listparagraf"/>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26B7C">
        <w:rPr>
          <w:rFonts w:ascii="Times New Roman" w:hAnsi="Times New Roman" w:cs="Times New Roman"/>
          <w:i/>
          <w:sz w:val="24"/>
          <w:szCs w:val="24"/>
        </w:rPr>
        <w:t>Concept d'intoxication à l'ammoniac</w:t>
      </w:r>
      <w:r>
        <w:rPr>
          <w:rFonts w:ascii="Times New Roman" w:hAnsi="Times New Roman" w:cs="Times New Roman"/>
          <w:sz w:val="24"/>
          <w:szCs w:val="24"/>
        </w:rPr>
        <w:t xml:space="preserve">. </w:t>
      </w:r>
    </w:p>
    <w:p w14:paraId="50D212C9" w14:textId="77777777" w:rsidR="00D00BD6" w:rsidRPr="00D00BD6" w:rsidRDefault="002F45B8" w:rsidP="00D00BD6">
      <w:pPr>
        <w:autoSpaceDE w:val="0"/>
        <w:autoSpaceDN w:val="0"/>
        <w:adjustRightInd w:val="0"/>
        <w:spacing w:after="0"/>
        <w:ind w:firstLine="720"/>
        <w:jc w:val="both"/>
        <w:rPr>
          <w:rFonts w:ascii="Times New Roman" w:hAnsi="Times New Roman" w:cs="Times New Roman"/>
          <w:i/>
          <w:sz w:val="24"/>
          <w:szCs w:val="24"/>
        </w:rPr>
      </w:pPr>
      <w:r>
        <w:rPr>
          <w:rFonts w:ascii="Times New Roman" w:hAnsi="Times New Roman" w:cs="Times New Roman"/>
          <w:sz w:val="24"/>
          <w:szCs w:val="24"/>
        </w:rPr>
        <w:t xml:space="preserve">L'ammoniac est considéré comme un facteur pathogène clé dans le développement de l'EH. Chez 90 % des patients atteints d'EH, le taux d'ammoniac dans le sang est élevé. </w:t>
      </w:r>
      <w:r w:rsidR="00D00BD6" w:rsidRPr="00D00BD6">
        <w:rPr>
          <w:rFonts w:ascii="Times New Roman" w:hAnsi="Times New Roman" w:cs="Times New Roman"/>
          <w:sz w:val="24"/>
          <w:szCs w:val="24"/>
        </w:rPr>
        <w:t xml:space="preserve">Une fonction particulièrement importante du foie est la conversion de l'ammoniac, un sous-produit du métabolisme des protéines et des acides aminés, en urée. L'ion ammonium est produit en abondance dans le tractus intestinal, en particulier dans le côlon, par la dégradation bactérienne des protéines et des acides aminés luminaux. Normalement, ces ions ammonium se diffusent dans le sang portail et sont transportés vers le foie, où ils sont convertis en urée avant d'entrer dans la circulation générale. Lorsque le sang provenant de l'intestin contourne le foie ou que le foie est incapable de convertir l'ammoniac en urée, l'ammoniac passe directement dans la circulation générale, puis dans la circulation cérébrale. L'encéphalopathie hépatique peut s'aggraver après un repas riche en protéines ou un saignement du tractus gastro-intestinal. </w:t>
      </w:r>
    </w:p>
    <w:p w14:paraId="26277838" w14:textId="77777777" w:rsidR="002F45B8" w:rsidRDefault="002F45B8" w:rsidP="002F45B8">
      <w:pPr>
        <w:pStyle w:val="Listparagraf"/>
        <w:ind w:left="0" w:firstLine="708"/>
        <w:jc w:val="both"/>
        <w:rPr>
          <w:rFonts w:ascii="Times New Roman" w:hAnsi="Times New Roman" w:cs="Times New Roman"/>
          <w:sz w:val="24"/>
          <w:szCs w:val="24"/>
        </w:rPr>
      </w:pPr>
      <w:r>
        <w:rPr>
          <w:rFonts w:ascii="Times New Roman" w:hAnsi="Times New Roman" w:cs="Times New Roman"/>
          <w:sz w:val="24"/>
          <w:szCs w:val="24"/>
        </w:rPr>
        <w:t xml:space="preserve">Dans le corps humain, l'élimination de l'ammoniac s'effectue physiologiquement au niveau du foie par la synthèse de l'urée (urée) et au niveau des muscles (par la synthèse de la glutamine). Un foie sain extrait jusqu'à 80 % de l'ammoniac présent dans le sang lors du premier passage. Les réactions hépatiques qui conduisent à la synthèse de l'urée à partir de l'ammoniac sont connues sous le nom de </w:t>
      </w:r>
      <w:r w:rsidRPr="003B1C0B">
        <w:rPr>
          <w:rFonts w:ascii="Times New Roman" w:hAnsi="Times New Roman" w:cs="Times New Roman"/>
          <w:i/>
          <w:sz w:val="24"/>
          <w:szCs w:val="24"/>
        </w:rPr>
        <w:t xml:space="preserve">cycle uréogénique de Krebs-Henseleit </w:t>
      </w:r>
      <w:r>
        <w:rPr>
          <w:rFonts w:ascii="Times New Roman" w:hAnsi="Times New Roman" w:cs="Times New Roman"/>
          <w:sz w:val="24"/>
          <w:szCs w:val="24"/>
        </w:rPr>
        <w:t>(ornithine + ammoniac + CO</w:t>
      </w:r>
      <w:r w:rsidRPr="00054278">
        <w:rPr>
          <w:rFonts w:ascii="Times New Roman" w:hAnsi="Times New Roman" w:cs="Times New Roman"/>
          <w:sz w:val="24"/>
          <w:szCs w:val="24"/>
          <w:vertAlign w:val="subscript"/>
        </w:rPr>
        <w:t>2</w:t>
      </w:r>
      <w:r>
        <w:rPr>
          <w:rFonts w:ascii="Times New Roman" w:hAnsi="Times New Roman" w:cs="Times New Roman"/>
          <w:sz w:val="24"/>
          <w:szCs w:val="24"/>
        </w:rPr>
        <w:t xml:space="preserve"> +ATP → </w:t>
      </w:r>
      <w:r w:rsidR="00D00BD6">
        <w:rPr>
          <w:rFonts w:ascii="Times New Roman" w:hAnsi="Times New Roman" w:cs="Times New Roman"/>
          <w:sz w:val="24"/>
          <w:szCs w:val="24"/>
        </w:rPr>
        <w:t xml:space="preserve">citrulline </w:t>
      </w:r>
      <w:r>
        <w:rPr>
          <w:rFonts w:ascii="Times New Roman" w:hAnsi="Times New Roman" w:cs="Times New Roman"/>
          <w:sz w:val="24"/>
          <w:szCs w:val="24"/>
        </w:rPr>
        <w:t xml:space="preserve">+ ammoniac → arginine  → urée + </w:t>
      </w:r>
      <w:r w:rsidR="00D00BD6">
        <w:rPr>
          <w:rFonts w:ascii="Times New Roman" w:hAnsi="Times New Roman" w:cs="Times New Roman"/>
          <w:sz w:val="24"/>
          <w:szCs w:val="24"/>
        </w:rPr>
        <w:t>ornithine</w:t>
      </w:r>
      <w:r>
        <w:rPr>
          <w:rFonts w:ascii="Times New Roman" w:hAnsi="Times New Roman" w:cs="Times New Roman"/>
          <w:sz w:val="24"/>
          <w:szCs w:val="24"/>
        </w:rPr>
        <w:t>). La transformation de l'ammoniac en glutamine se produit au niveau du foie et du SNC. La glutamine représente une forme importante de transport et de stockage de l'ammoniac. En cas d'excès d'ammoniac dans le sang, celui-ci peut être détoxifié au niveau des astrocytes par conversion de l'acide glutamique en glutamine. Les astrocytes du SNC sont donc les cellules clés sur lesquelles l'ammoniac exerce ses effets neurotoxiques :</w:t>
      </w:r>
    </w:p>
    <w:p w14:paraId="533BD5F5" w14:textId="77777777" w:rsidR="002F45B8" w:rsidRPr="00920DFA" w:rsidRDefault="00D00BD6" w:rsidP="002F45B8">
      <w:pPr>
        <w:pStyle w:val="Listparagraf"/>
        <w:numPr>
          <w:ilvl w:val="0"/>
          <w:numId w:val="1"/>
        </w:numPr>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F45B8" w:rsidRPr="00376D8E">
        <w:rPr>
          <w:rFonts w:ascii="Times New Roman" w:hAnsi="Times New Roman" w:cs="Times New Roman"/>
          <w:sz w:val="24"/>
          <w:szCs w:val="24"/>
        </w:rPr>
        <w:t>Le glutamate est un acide aminé qui agit comme un neurotransmetteur excitateur et qui est présent dans les vésicules présynaptiques de plus de 90 % des neurones. Après sa libération et l'activation de différents récepteurs postsynaptiques, le glutamate est éliminé de la fente synaptique par des transporteurs situés au niveau des astrocytes. Dans les astrocytes, le glutamate est transformé en glutamine avec l'incorporation d'une molécule d'ammoniac et transporté dans le neurone présynaptique, où la glutamine sera à nouveau transformée en glutamate. Ce cycle est affecté à plusieurs étapes par l'ammoniac</w:t>
      </w:r>
      <w:r w:rsidR="002F45B8">
        <w:rPr>
          <w:rFonts w:ascii="Times New Roman" w:hAnsi="Times New Roman" w:cs="Times New Roman"/>
          <w:sz w:val="24"/>
          <w:szCs w:val="24"/>
        </w:rPr>
        <w:t xml:space="preserve">. </w:t>
      </w:r>
      <w:r w:rsidR="002F45B8" w:rsidRPr="0048558B">
        <w:rPr>
          <w:rFonts w:ascii="Times New Roman" w:hAnsi="Times New Roman" w:cs="Times New Roman"/>
          <w:sz w:val="24"/>
          <w:szCs w:val="24"/>
        </w:rPr>
        <w:t>À un pH physiologique, l'ammoniac sanguin est principalement ionisé (NH</w:t>
      </w:r>
      <w:r w:rsidR="002F45B8" w:rsidRPr="002B4116">
        <w:rPr>
          <w:rFonts w:ascii="Times New Roman" w:hAnsi="Times New Roman" w:cs="Times New Roman"/>
          <w:sz w:val="24"/>
          <w:szCs w:val="24"/>
          <w:vertAlign w:val="subscript"/>
        </w:rPr>
        <w:t>4</w:t>
      </w:r>
      <w:r w:rsidR="002F45B8" w:rsidRPr="002B4116">
        <w:rPr>
          <w:rFonts w:ascii="Times New Roman" w:hAnsi="Times New Roman" w:cs="Times New Roman"/>
          <w:sz w:val="24"/>
          <w:szCs w:val="24"/>
          <w:vertAlign w:val="superscript"/>
        </w:rPr>
        <w:t>+</w:t>
      </w:r>
      <w:r w:rsidR="002F45B8" w:rsidRPr="0048558B">
        <w:rPr>
          <w:rFonts w:ascii="Times New Roman" w:hAnsi="Times New Roman" w:cs="Times New Roman"/>
          <w:sz w:val="24"/>
          <w:szCs w:val="24"/>
        </w:rPr>
        <w:t xml:space="preserve"> ). De légères variations du pH ont des effets sur l'équilibre et affectent la quantité d'ammoniac non ionisé (NH</w:t>
      </w:r>
      <w:r w:rsidR="002F45B8" w:rsidRPr="002B4116">
        <w:rPr>
          <w:rFonts w:ascii="Times New Roman" w:hAnsi="Times New Roman" w:cs="Times New Roman"/>
          <w:sz w:val="24"/>
          <w:szCs w:val="24"/>
          <w:vertAlign w:val="subscript"/>
        </w:rPr>
        <w:t>3</w:t>
      </w:r>
      <w:r w:rsidR="002F45B8" w:rsidRPr="0048558B">
        <w:rPr>
          <w:rFonts w:ascii="Times New Roman" w:hAnsi="Times New Roman" w:cs="Times New Roman"/>
          <w:sz w:val="24"/>
          <w:szCs w:val="24"/>
        </w:rPr>
        <w:t xml:space="preserve"> ), qui est la forme qui traverse la barrière hémato-encéphalique par diffusion.</w:t>
      </w:r>
      <w:r w:rsidR="002F45B8">
        <w:rPr>
          <w:rFonts w:ascii="Times New Roman" w:hAnsi="Times New Roman" w:cs="Times New Roman"/>
          <w:sz w:val="24"/>
          <w:szCs w:val="24"/>
        </w:rPr>
        <w:t xml:space="preserve"> Une concentration élevée </w:t>
      </w:r>
      <w:r w:rsidR="002F45B8" w:rsidRPr="00920DFA">
        <w:rPr>
          <w:rFonts w:ascii="Times New Roman" w:hAnsi="Times New Roman" w:cs="Times New Roman"/>
          <w:sz w:val="24"/>
          <w:szCs w:val="24"/>
        </w:rPr>
        <w:t xml:space="preserve">d'ammoniac qui traverse la barrière </w:t>
      </w:r>
      <w:r w:rsidR="00193AA0">
        <w:rPr>
          <w:rFonts w:ascii="Times New Roman" w:hAnsi="Times New Roman" w:cs="Times New Roman"/>
          <w:sz w:val="24"/>
          <w:szCs w:val="24"/>
        </w:rPr>
        <w:t xml:space="preserve">hémato-encéphalique </w:t>
      </w:r>
      <w:r w:rsidR="002F45B8" w:rsidRPr="00920DFA">
        <w:rPr>
          <w:rFonts w:ascii="Times New Roman" w:hAnsi="Times New Roman" w:cs="Times New Roman"/>
          <w:sz w:val="24"/>
          <w:szCs w:val="24"/>
        </w:rPr>
        <w:t xml:space="preserve">pénètre dans les astrocytes où il se combine avec le glutamate et forme de la glutamine. Une demande accrue en glutamate entraîne une consommation accrue d'acide </w:t>
      </w:r>
      <w:r w:rsidRPr="00920DFA">
        <w:rPr>
          <w:rFonts w:ascii="Times New Roman" w:hAnsi="Times New Roman" w:cs="Times New Roman"/>
          <w:sz w:val="24"/>
          <w:szCs w:val="24"/>
        </w:rPr>
        <w:t>alpha-cétoglutarique</w:t>
      </w:r>
      <w:r w:rsidR="002F45B8" w:rsidRPr="00920DFA">
        <w:rPr>
          <w:rFonts w:ascii="Times New Roman" w:hAnsi="Times New Roman" w:cs="Times New Roman"/>
          <w:sz w:val="24"/>
          <w:szCs w:val="24"/>
        </w:rPr>
        <w:t>, qui est retiré du cycle de Krebs. Enfin, l'ammoniac entraîne une diminution de l'activité du cycle de Krebs au niveau du SNC, avec un déficit énergétique dans les neurones et les astrocytes.</w:t>
      </w:r>
    </w:p>
    <w:p w14:paraId="398BFB22" w14:textId="77777777" w:rsidR="002F45B8" w:rsidRDefault="002F45B8" w:rsidP="002F45B8">
      <w:pPr>
        <w:pStyle w:val="Listparagraf"/>
        <w:numPr>
          <w:ilvl w:val="0"/>
          <w:numId w:val="1"/>
        </w:numPr>
        <w:ind w:left="-90" w:firstLine="798"/>
        <w:jc w:val="both"/>
        <w:rPr>
          <w:rFonts w:ascii="Times New Roman" w:hAnsi="Times New Roman" w:cs="Times New Roman"/>
          <w:sz w:val="24"/>
          <w:szCs w:val="24"/>
        </w:rPr>
      </w:pPr>
      <w:r>
        <w:rPr>
          <w:rFonts w:ascii="Times New Roman" w:hAnsi="Times New Roman" w:cs="Times New Roman"/>
          <w:sz w:val="24"/>
          <w:szCs w:val="24"/>
        </w:rPr>
        <w:t>Un excès d'ammoniac réduit le débit sanguin cérébral et la consommation de glucose cérébral dans le cycle de Krebs, ce qui aggrave la production d'énergie dans le cycle de Krebs.</w:t>
      </w:r>
    </w:p>
    <w:p w14:paraId="4A2E2D1B" w14:textId="77777777"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 xml:space="preserve">L'hyperammoniémie entraîne des modifications de </w:t>
      </w:r>
      <w:r w:rsidR="00193AA0">
        <w:rPr>
          <w:rFonts w:ascii="Times New Roman" w:hAnsi="Times New Roman" w:cs="Times New Roman"/>
          <w:sz w:val="24"/>
          <w:szCs w:val="24"/>
        </w:rPr>
        <w:t>la perméabilité</w:t>
      </w:r>
      <w:r>
        <w:rPr>
          <w:rFonts w:ascii="Times New Roman" w:hAnsi="Times New Roman" w:cs="Times New Roman"/>
          <w:sz w:val="24"/>
          <w:szCs w:val="24"/>
        </w:rPr>
        <w:t xml:space="preserve"> de la membrane mitochondriale au niveau des astrocytes. Ce processus dépend des ions Ca</w:t>
      </w:r>
      <w:r w:rsidRPr="00920DFA">
        <w:rPr>
          <w:rFonts w:ascii="Times New Roman" w:hAnsi="Times New Roman" w:cs="Times New Roman"/>
          <w:sz w:val="24"/>
          <w:szCs w:val="24"/>
          <w:vertAlign w:val="superscript"/>
        </w:rPr>
        <w:t>2+</w:t>
      </w:r>
      <w:r>
        <w:rPr>
          <w:rFonts w:ascii="Times New Roman" w:hAnsi="Times New Roman" w:cs="Times New Roman"/>
          <w:sz w:val="24"/>
          <w:szCs w:val="24"/>
        </w:rPr>
        <w:t xml:space="preserve"> et se traduit par une ouverture des pores au niveau de la membrane mitochondriale interne, entraînant l'effondrement du gradient ionique et finalement un dysfonctionnement mitochondrial. D'autres facteurs peuvent également être impliqués dans le développement d'un dysfonctionnement de l' e mitochondriale, parmi lesquels les plus importants sont : les espèces réactives de l'oxygène, l'oxyde nitrique, le pH alcalin, la glutamine. Ainsi, le dysfonctionnement mitochondrial représente un mécanisme pathogène important dans l'EH.</w:t>
      </w:r>
    </w:p>
    <w:p w14:paraId="688531E8" w14:textId="77777777"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 xml:space="preserve">Un taux élevé d'ammoniac dans le cerveau entraîne une augmentation du nombre de récepteurs benzodiazépines au niveau de la membrane mitochondriale externe dans les astrocytes. Cela </w:t>
      </w:r>
      <w:r w:rsidR="00193AA0">
        <w:rPr>
          <w:rFonts w:ascii="Times New Roman" w:hAnsi="Times New Roman" w:cs="Times New Roman"/>
          <w:sz w:val="24"/>
          <w:szCs w:val="24"/>
        </w:rPr>
        <w:t xml:space="preserve">conduit </w:t>
      </w:r>
      <w:r>
        <w:rPr>
          <w:rFonts w:ascii="Times New Roman" w:hAnsi="Times New Roman" w:cs="Times New Roman"/>
          <w:sz w:val="24"/>
          <w:szCs w:val="24"/>
        </w:rPr>
        <w:t xml:space="preserve">à une synthèse accrue de </w:t>
      </w:r>
      <w:r w:rsidRPr="00684119">
        <w:rPr>
          <w:rFonts w:ascii="Times New Roman" w:hAnsi="Times New Roman" w:cs="Times New Roman"/>
          <w:i/>
          <w:sz w:val="24"/>
          <w:szCs w:val="24"/>
        </w:rPr>
        <w:t xml:space="preserve">neurostéroïdes </w:t>
      </w:r>
      <w:r>
        <w:rPr>
          <w:rFonts w:ascii="Times New Roman" w:hAnsi="Times New Roman" w:cs="Times New Roman"/>
          <w:sz w:val="24"/>
          <w:szCs w:val="24"/>
        </w:rPr>
        <w:t xml:space="preserve">(tétrahydroprogestérone et tétrahydrodésoxycorticostérone). </w:t>
      </w:r>
      <w:r w:rsidRPr="003B1C0B">
        <w:rPr>
          <w:rFonts w:ascii="Times New Roman" w:hAnsi="Times New Roman" w:cs="Times New Roman"/>
          <w:sz w:val="24"/>
          <w:szCs w:val="24"/>
        </w:rPr>
        <w:t xml:space="preserve">L'activation des neurostéroïdes, qui sont des agonistes des </w:t>
      </w:r>
      <w:r>
        <w:rPr>
          <w:rFonts w:ascii="Times New Roman" w:hAnsi="Times New Roman" w:cs="Times New Roman"/>
          <w:sz w:val="24"/>
          <w:szCs w:val="24"/>
        </w:rPr>
        <w:t>récepteurs</w:t>
      </w:r>
      <w:r w:rsidRPr="003B1C0B">
        <w:rPr>
          <w:rFonts w:ascii="Times New Roman" w:hAnsi="Times New Roman" w:cs="Times New Roman"/>
          <w:sz w:val="24"/>
          <w:szCs w:val="24"/>
        </w:rPr>
        <w:t xml:space="preserve"> de l'acide γ-aminobutyrique (GABA), pourrait être responsable du schéma inhibiteur de la fonction neuronale qui caractérise l'EH</w:t>
      </w:r>
      <w:r>
        <w:rPr>
          <w:rFonts w:ascii="Times New Roman" w:hAnsi="Times New Roman" w:cs="Times New Roman"/>
          <w:sz w:val="24"/>
          <w:szCs w:val="24"/>
        </w:rPr>
        <w:t xml:space="preserve">. </w:t>
      </w:r>
    </w:p>
    <w:p w14:paraId="58D88DF6" w14:textId="77777777" w:rsidR="002F45B8" w:rsidRDefault="002F45B8" w:rsidP="002F45B8">
      <w:pPr>
        <w:pStyle w:val="Listparagraf"/>
        <w:numPr>
          <w:ilvl w:val="0"/>
          <w:numId w:val="1"/>
        </w:numPr>
        <w:ind w:left="-142" w:firstLine="850"/>
        <w:jc w:val="both"/>
        <w:rPr>
          <w:rFonts w:ascii="Times New Roman" w:hAnsi="Times New Roman" w:cs="Times New Roman"/>
          <w:sz w:val="24"/>
          <w:szCs w:val="24"/>
        </w:rPr>
      </w:pPr>
      <w:r w:rsidRPr="003B1C0B">
        <w:rPr>
          <w:rFonts w:ascii="Times New Roman" w:hAnsi="Times New Roman" w:cs="Times New Roman"/>
          <w:sz w:val="24"/>
          <w:szCs w:val="24"/>
        </w:rPr>
        <w:t xml:space="preserve">Il a été démontré que l'ammoniac provoque un stress oxydatif induisant la génération de radicaux libres et la </w:t>
      </w:r>
      <w:r>
        <w:rPr>
          <w:rFonts w:ascii="Times New Roman" w:hAnsi="Times New Roman" w:cs="Times New Roman"/>
          <w:sz w:val="24"/>
          <w:szCs w:val="24"/>
        </w:rPr>
        <w:t xml:space="preserve">nitro-tyrosination des protéines dans le cerveau. </w:t>
      </w:r>
      <w:r w:rsidRPr="003B1C0B">
        <w:rPr>
          <w:rFonts w:ascii="Times New Roman" w:hAnsi="Times New Roman" w:cs="Times New Roman"/>
          <w:sz w:val="24"/>
          <w:szCs w:val="24"/>
        </w:rPr>
        <w:t>Ce processus est essentiel pour la fonction mitochondriale et peut, de manière secondaire, entraîner une défaillance de la neurotransmission normale.</w:t>
      </w:r>
    </w:p>
    <w:p w14:paraId="06CAF9CD" w14:textId="77777777"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 xml:space="preserve">L'ammoniac augmente </w:t>
      </w:r>
      <w:r w:rsidR="00D00BD6">
        <w:rPr>
          <w:rFonts w:ascii="Times New Roman" w:hAnsi="Times New Roman" w:cs="Times New Roman"/>
          <w:sz w:val="24"/>
          <w:szCs w:val="24"/>
        </w:rPr>
        <w:t xml:space="preserve">la perméabilité </w:t>
      </w:r>
      <w:r>
        <w:rPr>
          <w:rFonts w:ascii="Times New Roman" w:hAnsi="Times New Roman" w:cs="Times New Roman"/>
          <w:sz w:val="24"/>
          <w:szCs w:val="24"/>
        </w:rPr>
        <w:t xml:space="preserve">de la barrière </w:t>
      </w:r>
      <w:r w:rsidR="00193AA0">
        <w:rPr>
          <w:rFonts w:ascii="Times New Roman" w:hAnsi="Times New Roman" w:cs="Times New Roman"/>
          <w:sz w:val="24"/>
          <w:szCs w:val="24"/>
        </w:rPr>
        <w:t xml:space="preserve">hémato-encéphalique </w:t>
      </w:r>
      <w:r>
        <w:rPr>
          <w:rFonts w:ascii="Times New Roman" w:hAnsi="Times New Roman" w:cs="Times New Roman"/>
          <w:sz w:val="24"/>
          <w:szCs w:val="24"/>
        </w:rPr>
        <w:t xml:space="preserve">en facilitant la diffusion dans le SNC d'autres substances toxiques </w:t>
      </w:r>
      <w:r w:rsidR="00313E61">
        <w:rPr>
          <w:rFonts w:ascii="Times New Roman" w:hAnsi="Times New Roman" w:cs="Times New Roman"/>
          <w:sz w:val="24"/>
          <w:szCs w:val="24"/>
        </w:rPr>
        <w:t>absorbées par le gros intestin (</w:t>
      </w:r>
      <w:r>
        <w:rPr>
          <w:rFonts w:ascii="Times New Roman" w:hAnsi="Times New Roman" w:cs="Times New Roman"/>
          <w:sz w:val="24"/>
          <w:szCs w:val="24"/>
        </w:rPr>
        <w:t>acides gras à chaîne courte, phénols, mercaptans, etc.) et d'acides aminés aromatiques.</w:t>
      </w:r>
    </w:p>
    <w:p w14:paraId="33DDE260" w14:textId="77777777" w:rsidR="002F45B8" w:rsidRPr="00D00BD6" w:rsidRDefault="002F45B8" w:rsidP="00D00BD6">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Ainsi, une augmentation du taux d'ammoniac dans le cerveau a des effets neurotoxiques importants sur les astrocytes. On sait que les astrocytes sont des cellules de soutien du SNC qui jouent un rôle important dans le contrôle du flux d'électrolytes, d'eau et de substances nutritives entre les neurones et la microcirculation (cellules tampons). En inactivant l'ammoniac, les astrocytes se remplissent de glutamine, une substance osmotique active, ce qui entraîne un déplacement de l'eau à l'intérieur de la cellule et le développement d'un œdème astrocytaire. Le même effet est également observé lors de l'inhibition de la Na</w:t>
      </w:r>
      <w:r w:rsidRPr="00684119">
        <w:rPr>
          <w:rFonts w:ascii="Times New Roman" w:hAnsi="Times New Roman" w:cs="Times New Roman"/>
          <w:sz w:val="24"/>
          <w:szCs w:val="24"/>
          <w:vertAlign w:val="superscript"/>
        </w:rPr>
        <w:t>+</w:t>
      </w:r>
      <w:r>
        <w:rPr>
          <w:rFonts w:ascii="Times New Roman" w:hAnsi="Times New Roman" w:cs="Times New Roman"/>
          <w:sz w:val="24"/>
          <w:szCs w:val="24"/>
        </w:rPr>
        <w:t>/K</w:t>
      </w:r>
      <w:r w:rsidRPr="00684119">
        <w:rPr>
          <w:rFonts w:ascii="Times New Roman" w:hAnsi="Times New Roman" w:cs="Times New Roman"/>
          <w:sz w:val="24"/>
          <w:szCs w:val="24"/>
          <w:vertAlign w:val="superscript"/>
        </w:rPr>
        <w:t>+</w:t>
      </w:r>
      <w:r>
        <w:rPr>
          <w:rFonts w:ascii="Times New Roman" w:hAnsi="Times New Roman" w:cs="Times New Roman"/>
          <w:sz w:val="24"/>
          <w:szCs w:val="24"/>
        </w:rPr>
        <w:t>ATPase par d'autres substances toxiques qui ne sont pas détoxifiées dans le foie.</w:t>
      </w:r>
    </w:p>
    <w:p w14:paraId="6242397D" w14:textId="77777777" w:rsidR="0068670F" w:rsidRDefault="002F45B8" w:rsidP="002F45B8">
      <w:pPr>
        <w:autoSpaceDE w:val="0"/>
        <w:autoSpaceDN w:val="0"/>
        <w:adjustRightInd w:val="0"/>
        <w:spacing w:after="0"/>
        <w:ind w:firstLine="720"/>
        <w:jc w:val="center"/>
        <w:rPr>
          <w:rFonts w:ascii="Times New Roman" w:hAnsi="Times New Roman" w:cs="Times New Roman"/>
          <w:sz w:val="24"/>
          <w:szCs w:val="24"/>
        </w:rPr>
      </w:pPr>
      <w:r w:rsidRPr="002F45B8">
        <w:rPr>
          <w:rFonts w:ascii="Times New Roman" w:hAnsi="Times New Roman" w:cs="Times New Roman"/>
          <w:noProof/>
          <w:sz w:val="24"/>
          <w:szCs w:val="24"/>
          <w:lang w:val="en-GB" w:eastAsia="en-GB"/>
        </w:rPr>
        <w:drawing>
          <wp:inline distT="0" distB="0" distL="0" distR="0" wp14:anchorId="7A253733" wp14:editId="00C3A6DA">
            <wp:extent cx="3606621" cy="3586579"/>
            <wp:effectExtent l="19050" t="19050" r="12879" b="13871"/>
            <wp:docPr id="2" name="Рисунок 2" descr="http://www.landesbioscience.com/curie/images/chapters/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desbioscience.com/curie/images/chapters/Dem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621" cy="3587573"/>
                    </a:xfrm>
                    <a:prstGeom prst="rect">
                      <a:avLst/>
                    </a:prstGeom>
                    <a:noFill/>
                    <a:ln>
                      <a:solidFill>
                        <a:schemeClr val="tx1"/>
                      </a:solidFill>
                    </a:ln>
                  </pic:spPr>
                </pic:pic>
              </a:graphicData>
            </a:graphic>
          </wp:inline>
        </w:drawing>
      </w:r>
    </w:p>
    <w:p w14:paraId="21A46E97" w14:textId="77777777" w:rsidR="008B45C6" w:rsidRPr="00313E61" w:rsidRDefault="008B45C6" w:rsidP="002F45B8">
      <w:pPr>
        <w:autoSpaceDE w:val="0"/>
        <w:autoSpaceDN w:val="0"/>
        <w:adjustRightInd w:val="0"/>
        <w:spacing w:after="0"/>
        <w:ind w:firstLine="720"/>
        <w:jc w:val="center"/>
        <w:rPr>
          <w:rFonts w:ascii="Times New Roman" w:hAnsi="Times New Roman" w:cs="Times New Roman"/>
          <w:b/>
          <w:sz w:val="24"/>
          <w:szCs w:val="24"/>
        </w:rPr>
      </w:pPr>
      <w:r w:rsidRPr="00313E61">
        <w:rPr>
          <w:rFonts w:ascii="Times New Roman" w:hAnsi="Times New Roman" w:cs="Times New Roman"/>
          <w:b/>
          <w:sz w:val="24"/>
          <w:szCs w:val="24"/>
        </w:rPr>
        <w:t>Fig.</w:t>
      </w:r>
      <w:r w:rsidR="003F3F67" w:rsidRPr="00313E61">
        <w:rPr>
          <w:rFonts w:ascii="Times New Roman" w:hAnsi="Times New Roman" w:cs="Times New Roman"/>
          <w:b/>
          <w:sz w:val="24"/>
          <w:szCs w:val="24"/>
        </w:rPr>
        <w:t xml:space="preserve"> 3</w:t>
      </w:r>
      <w:r w:rsidR="00D00BD6" w:rsidRPr="00313E61">
        <w:rPr>
          <w:rFonts w:ascii="Times New Roman" w:hAnsi="Times New Roman" w:cs="Times New Roman"/>
          <w:b/>
          <w:sz w:val="24"/>
          <w:szCs w:val="24"/>
        </w:rPr>
        <w:t xml:space="preserve">. </w:t>
      </w:r>
      <w:r w:rsidR="00313E61" w:rsidRPr="00313E61">
        <w:rPr>
          <w:rFonts w:ascii="Times New Roman" w:hAnsi="Times New Roman" w:cs="Times New Roman"/>
          <w:b/>
          <w:sz w:val="24"/>
          <w:szCs w:val="24"/>
        </w:rPr>
        <w:t xml:space="preserve">Effets de l'ammoniac sur les astrocytes </w:t>
      </w:r>
    </w:p>
    <w:p w14:paraId="3C336C33" w14:textId="77777777" w:rsidR="002F45B8" w:rsidRPr="00313E61" w:rsidRDefault="002F45B8" w:rsidP="002F45B8">
      <w:pPr>
        <w:autoSpaceDE w:val="0"/>
        <w:autoSpaceDN w:val="0"/>
        <w:adjustRightInd w:val="0"/>
        <w:spacing w:after="0"/>
        <w:ind w:firstLine="720"/>
        <w:jc w:val="center"/>
        <w:rPr>
          <w:rFonts w:ascii="Times New Roman" w:hAnsi="Times New Roman" w:cs="Times New Roman"/>
          <w:b/>
          <w:sz w:val="24"/>
          <w:szCs w:val="24"/>
        </w:rPr>
      </w:pPr>
    </w:p>
    <w:p w14:paraId="1BCAB619" w14:textId="77777777" w:rsidR="006372DA" w:rsidRDefault="006372DA" w:rsidP="002F45B8">
      <w:pPr>
        <w:pStyle w:val="Listparagraf"/>
        <w:ind w:left="-142" w:firstLine="850"/>
        <w:jc w:val="both"/>
        <w:rPr>
          <w:rFonts w:ascii="Times New Roman" w:hAnsi="Times New Roman" w:cs="Times New Roman"/>
          <w:i/>
          <w:sz w:val="24"/>
          <w:szCs w:val="24"/>
        </w:rPr>
      </w:pPr>
    </w:p>
    <w:p w14:paraId="4AB8A131" w14:textId="77777777" w:rsidR="006372DA" w:rsidRDefault="006372DA" w:rsidP="002F45B8">
      <w:pPr>
        <w:pStyle w:val="Listparagraf"/>
        <w:ind w:left="-142" w:firstLine="850"/>
        <w:jc w:val="both"/>
        <w:rPr>
          <w:rFonts w:ascii="Times New Roman" w:hAnsi="Times New Roman" w:cs="Times New Roman"/>
          <w:i/>
          <w:sz w:val="24"/>
          <w:szCs w:val="24"/>
        </w:rPr>
      </w:pPr>
    </w:p>
    <w:p w14:paraId="280CB2EA" w14:textId="77777777" w:rsidR="006372DA" w:rsidRDefault="006372DA" w:rsidP="002F45B8">
      <w:pPr>
        <w:pStyle w:val="Listparagraf"/>
        <w:ind w:left="-142" w:firstLine="850"/>
        <w:jc w:val="both"/>
        <w:rPr>
          <w:rFonts w:ascii="Times New Roman" w:hAnsi="Times New Roman" w:cs="Times New Roman"/>
          <w:i/>
          <w:sz w:val="24"/>
          <w:szCs w:val="24"/>
        </w:rPr>
      </w:pPr>
    </w:p>
    <w:p w14:paraId="0A3873E2" w14:textId="77777777" w:rsidR="002F45B8" w:rsidRPr="00F41BF5" w:rsidRDefault="002F45B8" w:rsidP="002F45B8">
      <w:pPr>
        <w:pStyle w:val="Listparagraf"/>
        <w:ind w:left="-142" w:firstLine="850"/>
        <w:jc w:val="both"/>
        <w:rPr>
          <w:rFonts w:ascii="Times New Roman" w:hAnsi="Times New Roman" w:cs="Times New Roman"/>
          <w:i/>
          <w:sz w:val="24"/>
          <w:szCs w:val="24"/>
        </w:rPr>
      </w:pPr>
      <w:r w:rsidRPr="00F41BF5">
        <w:rPr>
          <w:rFonts w:ascii="Times New Roman" w:hAnsi="Times New Roman" w:cs="Times New Roman"/>
          <w:i/>
          <w:sz w:val="24"/>
          <w:szCs w:val="24"/>
        </w:rPr>
        <w:t>Concept synergique</w:t>
      </w:r>
    </w:p>
    <w:p w14:paraId="32C25369" w14:textId="77777777"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On considère que les effets toxiques de l'ammoniac dans le développement de l'EH doivent être ajoutés aux effets toxiques d'autres substances, principalement : les acides gras à chaîne courte, les mercaptans, les amines et les phénols. </w:t>
      </w:r>
    </w:p>
    <w:p w14:paraId="6406A05C" w14:textId="77777777" w:rsidR="002F45B8" w:rsidRDefault="002F45B8" w:rsidP="002F45B8">
      <w:pPr>
        <w:pStyle w:val="Listparagraf"/>
        <w:ind w:left="-142" w:firstLine="850"/>
        <w:jc w:val="both"/>
        <w:rPr>
          <w:rFonts w:ascii="Times New Roman" w:hAnsi="Times New Roman" w:cs="Times New Roman"/>
          <w:sz w:val="24"/>
          <w:szCs w:val="24"/>
        </w:rPr>
      </w:pPr>
      <w:r w:rsidRPr="002F45B8">
        <w:rPr>
          <w:rFonts w:ascii="Times New Roman" w:hAnsi="Times New Roman" w:cs="Times New Roman"/>
          <w:i/>
          <w:sz w:val="24"/>
          <w:szCs w:val="24"/>
        </w:rPr>
        <w:t xml:space="preserve">Les acides gras à chaîne courte </w:t>
      </w:r>
      <w:r>
        <w:rPr>
          <w:rFonts w:ascii="Times New Roman" w:hAnsi="Times New Roman" w:cs="Times New Roman"/>
          <w:sz w:val="24"/>
          <w:szCs w:val="24"/>
        </w:rPr>
        <w:t>sont synthétisés dans le gros intestin à partir de polysaccharides par la microflore intestinale, sont absorbés dans le sang porte et sont finalement inactivés dans le foie. Chez les patients atteints d'insuffisance hépatique, la concentration systémique d'acides gras à chaîne courte (les plus connus sont l'acide acétique, l'acide propionique et l'acide butyrique) est élevée et a un effet neurotoxique, principalement en réduisant le métabolisme énergétique au niveau du SNC par l'inhibition de la Na</w:t>
      </w:r>
      <w:r w:rsidRPr="00A1049C">
        <w:rPr>
          <w:rFonts w:ascii="Times New Roman" w:hAnsi="Times New Roman" w:cs="Times New Roman"/>
          <w:sz w:val="24"/>
          <w:szCs w:val="24"/>
          <w:vertAlign w:val="superscript"/>
        </w:rPr>
        <w:t>+</w:t>
      </w:r>
      <w:r>
        <w:rPr>
          <w:rFonts w:ascii="Times New Roman" w:hAnsi="Times New Roman" w:cs="Times New Roman"/>
          <w:sz w:val="24"/>
          <w:szCs w:val="24"/>
        </w:rPr>
        <w:t xml:space="preserve"> /K</w:t>
      </w:r>
      <w:r w:rsidRPr="00A1049C">
        <w:rPr>
          <w:rFonts w:ascii="Times New Roman" w:hAnsi="Times New Roman" w:cs="Times New Roman"/>
          <w:sz w:val="24"/>
          <w:szCs w:val="24"/>
          <w:vertAlign w:val="superscript"/>
        </w:rPr>
        <w:t>+</w:t>
      </w:r>
      <w:r>
        <w:rPr>
          <w:rFonts w:ascii="Times New Roman" w:hAnsi="Times New Roman" w:cs="Times New Roman"/>
          <w:sz w:val="24"/>
          <w:szCs w:val="24"/>
        </w:rPr>
        <w:t xml:space="preserve"> ATPase et l'augmentation du niveau de sodium intracellulaire.</w:t>
      </w:r>
    </w:p>
    <w:p w14:paraId="6D42D29E" w14:textId="77777777"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Pr="00151A38">
        <w:rPr>
          <w:rFonts w:ascii="Times New Roman" w:hAnsi="Times New Roman" w:cs="Times New Roman"/>
          <w:i/>
          <w:sz w:val="24"/>
          <w:szCs w:val="24"/>
        </w:rPr>
        <w:t xml:space="preserve">Les mercaptans </w:t>
      </w:r>
      <w:r>
        <w:rPr>
          <w:rFonts w:ascii="Times New Roman" w:hAnsi="Times New Roman" w:cs="Times New Roman"/>
          <w:sz w:val="24"/>
          <w:szCs w:val="24"/>
        </w:rPr>
        <w:t xml:space="preserve">sont des thiols-alcools, produits par le catabolisme bactérien des acides aminés </w:t>
      </w:r>
      <w:r w:rsidR="00A1049C">
        <w:rPr>
          <w:rFonts w:ascii="Times New Roman" w:hAnsi="Times New Roman" w:cs="Times New Roman"/>
          <w:sz w:val="24"/>
          <w:szCs w:val="24"/>
        </w:rPr>
        <w:t xml:space="preserve">soufrés </w:t>
      </w:r>
      <w:r>
        <w:rPr>
          <w:rFonts w:ascii="Times New Roman" w:hAnsi="Times New Roman" w:cs="Times New Roman"/>
          <w:sz w:val="24"/>
          <w:szCs w:val="24"/>
        </w:rPr>
        <w:t>(principalement la méthionine) dans le gros intestin et ont des effets synergiques avec le NH</w:t>
      </w:r>
      <w:r w:rsidRPr="00151A38">
        <w:rPr>
          <w:rFonts w:ascii="Times New Roman" w:hAnsi="Times New Roman" w:cs="Times New Roman"/>
          <w:sz w:val="24"/>
          <w:szCs w:val="24"/>
          <w:vertAlign w:val="subscript"/>
        </w:rPr>
        <w:t>3</w:t>
      </w:r>
      <w:r>
        <w:rPr>
          <w:rFonts w:ascii="Times New Roman" w:hAnsi="Times New Roman" w:cs="Times New Roman"/>
          <w:sz w:val="24"/>
          <w:szCs w:val="24"/>
        </w:rPr>
        <w:t xml:space="preserve">. Parmi les mercaptans, le méthylsulfure et le méthanethiol renforcent les effets neurotoxiques de l'ammoniac, aggravant ainsi la déficience énergétique au niveau des neurones et </w:t>
      </w:r>
      <w:r w:rsidR="00A1049C">
        <w:rPr>
          <w:rFonts w:ascii="Times New Roman" w:hAnsi="Times New Roman" w:cs="Times New Roman"/>
          <w:sz w:val="24"/>
          <w:szCs w:val="24"/>
        </w:rPr>
        <w:t xml:space="preserve">des astrocytes. De plus, </w:t>
      </w:r>
      <w:r>
        <w:rPr>
          <w:rFonts w:ascii="Times New Roman" w:hAnsi="Times New Roman" w:cs="Times New Roman"/>
          <w:sz w:val="24"/>
          <w:szCs w:val="24"/>
        </w:rPr>
        <w:t>les mercaptans inhibent les enzymes du cycle de l'urée dans le foie, augmentant ainsi la production d'ammoniac, et diminuent l'activité de la Na</w:t>
      </w:r>
      <w:r w:rsidRPr="00A1049C">
        <w:rPr>
          <w:rFonts w:ascii="Times New Roman" w:hAnsi="Times New Roman" w:cs="Times New Roman"/>
          <w:sz w:val="24"/>
          <w:szCs w:val="24"/>
          <w:vertAlign w:val="superscript"/>
        </w:rPr>
        <w:t>+</w:t>
      </w:r>
      <w:r>
        <w:rPr>
          <w:rFonts w:ascii="Times New Roman" w:hAnsi="Times New Roman" w:cs="Times New Roman"/>
          <w:sz w:val="24"/>
          <w:szCs w:val="24"/>
        </w:rPr>
        <w:t xml:space="preserve"> /K</w:t>
      </w:r>
      <w:r w:rsidRPr="00A1049C">
        <w:rPr>
          <w:rFonts w:ascii="Times New Roman" w:hAnsi="Times New Roman" w:cs="Times New Roman"/>
          <w:sz w:val="24"/>
          <w:szCs w:val="24"/>
          <w:vertAlign w:val="superscript"/>
        </w:rPr>
        <w:t>+</w:t>
      </w:r>
      <w:r>
        <w:rPr>
          <w:rFonts w:ascii="Times New Roman" w:hAnsi="Times New Roman" w:cs="Times New Roman"/>
          <w:sz w:val="24"/>
          <w:szCs w:val="24"/>
        </w:rPr>
        <w:t xml:space="preserve"> ATPase</w:t>
      </w:r>
    </w:p>
    <w:p w14:paraId="3796F880" w14:textId="77777777" w:rsidR="002F45B8" w:rsidRP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Pr="00F93F87">
        <w:rPr>
          <w:rFonts w:ascii="Times New Roman" w:hAnsi="Times New Roman" w:cs="Times New Roman"/>
          <w:i/>
          <w:sz w:val="24"/>
          <w:szCs w:val="24"/>
        </w:rPr>
        <w:t xml:space="preserve">Les phénols </w:t>
      </w:r>
      <w:r>
        <w:rPr>
          <w:rFonts w:ascii="Times New Roman" w:hAnsi="Times New Roman" w:cs="Times New Roman"/>
          <w:sz w:val="24"/>
          <w:szCs w:val="24"/>
        </w:rPr>
        <w:t xml:space="preserve">résultent du catabolisme de la phénylalanine et de la tyrosine et, associés aux amines neurotoxiques (octopamine, tiramine, </w:t>
      </w:r>
      <w:r w:rsidR="00A1049C">
        <w:rPr>
          <w:rFonts w:ascii="Times New Roman" w:hAnsi="Times New Roman" w:cs="Times New Roman"/>
          <w:sz w:val="24"/>
          <w:szCs w:val="24"/>
        </w:rPr>
        <w:t>phényléthanolamine</w:t>
      </w:r>
      <w:r>
        <w:rPr>
          <w:rFonts w:ascii="Times New Roman" w:hAnsi="Times New Roman" w:cs="Times New Roman"/>
          <w:sz w:val="24"/>
          <w:szCs w:val="24"/>
        </w:rPr>
        <w:t>), agissent comme de faux neurotransmetteurs.</w:t>
      </w:r>
    </w:p>
    <w:p w14:paraId="35C81F24" w14:textId="77777777" w:rsidR="002F45B8" w:rsidRDefault="002F45B8" w:rsidP="002F45B8">
      <w:pPr>
        <w:pStyle w:val="Listparagraf"/>
        <w:ind w:left="-142" w:firstLine="850"/>
        <w:jc w:val="both"/>
        <w:rPr>
          <w:rFonts w:ascii="Times New Roman" w:hAnsi="Times New Roman" w:cs="Times New Roman"/>
          <w:i/>
          <w:sz w:val="24"/>
          <w:szCs w:val="24"/>
        </w:rPr>
      </w:pPr>
      <w:r w:rsidRPr="00F93F87">
        <w:rPr>
          <w:rFonts w:ascii="Times New Roman" w:hAnsi="Times New Roman" w:cs="Times New Roman"/>
          <w:i/>
          <w:sz w:val="24"/>
          <w:szCs w:val="24"/>
        </w:rPr>
        <w:t xml:space="preserve">Concept des </w:t>
      </w:r>
      <w:r>
        <w:rPr>
          <w:rFonts w:ascii="Times New Roman" w:hAnsi="Times New Roman" w:cs="Times New Roman"/>
          <w:i/>
          <w:sz w:val="24"/>
          <w:szCs w:val="24"/>
        </w:rPr>
        <w:t xml:space="preserve">troubles de la neurotransmission intracérébrale </w:t>
      </w:r>
    </w:p>
    <w:p w14:paraId="595F7D58" w14:textId="77777777" w:rsidR="002F45B8" w:rsidRDefault="002F45B8" w:rsidP="002F45B8">
      <w:pPr>
        <w:pStyle w:val="Listparagraf"/>
        <w:ind w:left="-142" w:firstLine="850"/>
        <w:jc w:val="both"/>
        <w:rPr>
          <w:rFonts w:ascii="Times New Roman" w:hAnsi="Times New Roman" w:cs="Times New Roman"/>
          <w:sz w:val="24"/>
          <w:szCs w:val="24"/>
        </w:rPr>
      </w:pPr>
      <w:r w:rsidRPr="00D7312E">
        <w:rPr>
          <w:rFonts w:ascii="Times New Roman" w:hAnsi="Times New Roman" w:cs="Times New Roman"/>
          <w:sz w:val="24"/>
          <w:szCs w:val="24"/>
        </w:rPr>
        <w:t xml:space="preserve">Dans l'HE, on peut constater un déséquilibre entre </w:t>
      </w:r>
      <w:r>
        <w:rPr>
          <w:rFonts w:ascii="Times New Roman" w:hAnsi="Times New Roman" w:cs="Times New Roman"/>
          <w:sz w:val="24"/>
          <w:szCs w:val="24"/>
        </w:rPr>
        <w:t>les neurotransmetteurs excitateurs et inhibiteurs. On observe une augmentation caractéristique des neurotransmetteurs inhibiteurs : réels (GABA, sérotonine</w:t>
      </w:r>
      <w:r w:rsidR="00A1049C">
        <w:rPr>
          <w:rFonts w:ascii="Times New Roman" w:hAnsi="Times New Roman" w:cs="Times New Roman"/>
          <w:sz w:val="24"/>
          <w:szCs w:val="24"/>
        </w:rPr>
        <w:t xml:space="preserve">) et faux (octopamine et </w:t>
      </w:r>
      <w:r>
        <w:rPr>
          <w:rFonts w:ascii="Times New Roman" w:hAnsi="Times New Roman" w:cs="Times New Roman"/>
          <w:sz w:val="24"/>
          <w:szCs w:val="24"/>
        </w:rPr>
        <w:t>phényléthanolamine). La concentration des neurotransmetteurs excitateurs (dopamine, glutamate, noradrénaline) est considérablement réduite, voire totalement absente.</w:t>
      </w:r>
    </w:p>
    <w:p w14:paraId="3F588DEF" w14:textId="77777777"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L'acide glutamique est l'un des neurotransmetteurs excitateurs les plus importants du cerveau, dont le métabolisme s'effectue dans deux compartiments : les astrocytes et les neurones. Ce neurotransmetteur est très important pour l'élimination de l'ammoniac qui traverse la barrière </w:t>
      </w:r>
      <w:r w:rsidR="00313E61">
        <w:rPr>
          <w:rFonts w:ascii="Times New Roman" w:hAnsi="Times New Roman" w:cs="Times New Roman"/>
          <w:sz w:val="24"/>
          <w:szCs w:val="24"/>
        </w:rPr>
        <w:t>hémato-encéphalique</w:t>
      </w:r>
      <w:r>
        <w:rPr>
          <w:rFonts w:ascii="Times New Roman" w:hAnsi="Times New Roman" w:cs="Times New Roman"/>
          <w:sz w:val="24"/>
          <w:szCs w:val="24"/>
        </w:rPr>
        <w:t xml:space="preserve">, car il n'y a pas d'enzymes du cycle de l'urée dans le SNC. Cela entraîne une déplétion du glutamate dans le SNC. Les deux autres médiateurs excitateurs importants sont la dopamine et la noradrénaline, dont la synthèse est considérablement réduite dans l'EH. Cela est dû à l'augmentation de la concentration sanguine en acides aminés aromatiques et à la diminution de la concentration en acides aminés ramifiés dans </w:t>
      </w:r>
      <w:r w:rsidR="00313E61">
        <w:rPr>
          <w:rFonts w:ascii="Times New Roman" w:hAnsi="Times New Roman" w:cs="Times New Roman"/>
          <w:sz w:val="24"/>
          <w:szCs w:val="24"/>
        </w:rPr>
        <w:t>l'insuffisance</w:t>
      </w:r>
      <w:r>
        <w:rPr>
          <w:rFonts w:ascii="Times New Roman" w:hAnsi="Times New Roman" w:cs="Times New Roman"/>
          <w:sz w:val="24"/>
          <w:szCs w:val="24"/>
        </w:rPr>
        <w:t xml:space="preserve"> hépatique</w:t>
      </w:r>
      <w:r w:rsidR="00313E61">
        <w:rPr>
          <w:rFonts w:ascii="Times New Roman" w:hAnsi="Times New Roman" w:cs="Times New Roman"/>
          <w:sz w:val="24"/>
          <w:szCs w:val="24"/>
        </w:rPr>
        <w:t xml:space="preserve">. Dans cette situation, </w:t>
      </w:r>
      <w:r>
        <w:rPr>
          <w:rFonts w:ascii="Times New Roman" w:hAnsi="Times New Roman" w:cs="Times New Roman"/>
          <w:sz w:val="24"/>
          <w:szCs w:val="24"/>
        </w:rPr>
        <w:t>la barrière</w:t>
      </w:r>
      <w:r w:rsidR="00313E61">
        <w:rPr>
          <w:rFonts w:ascii="Times New Roman" w:hAnsi="Times New Roman" w:cs="Times New Roman"/>
          <w:sz w:val="24"/>
          <w:szCs w:val="24"/>
        </w:rPr>
        <w:t xml:space="preserve"> hémato-encéphalique </w:t>
      </w:r>
      <w:r>
        <w:rPr>
          <w:rFonts w:ascii="Times New Roman" w:hAnsi="Times New Roman" w:cs="Times New Roman"/>
          <w:sz w:val="24"/>
          <w:szCs w:val="24"/>
        </w:rPr>
        <w:t xml:space="preserve">devient plus perméable aux acides aminés aromatiques. Un taux élevé de phénylalanine dans les neurones excitateurs inhibe la tyrosine-3-hydroxylase, ce qui réduit la synthèse de la DOPA, précurseur de la noradrénaline. L'épuisement de la dopamine explique certaines manifestations neuropsychiques de l'EH : réduction de l'activité motrice, hypokinésie, tremblements, troubles cognitifs, troubles de la mémoire. La déplétion de noradrénaline dans l'EH est responsable de la dépression, de la diminution de l'attention sélective, de l'apathie et de l'indifférence. </w:t>
      </w:r>
    </w:p>
    <w:p w14:paraId="4349D20E" w14:textId="77777777" w:rsidR="002F45B8" w:rsidRPr="00D7312E"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Les neurotransmetteurs inhibiteurs, principalement </w:t>
      </w:r>
      <w:r w:rsidRPr="00560D1B">
        <w:rPr>
          <w:rFonts w:ascii="Times New Roman" w:hAnsi="Times New Roman" w:cs="Times New Roman"/>
          <w:i/>
          <w:sz w:val="24"/>
          <w:szCs w:val="24"/>
        </w:rPr>
        <w:t xml:space="preserve">le GABA </w:t>
      </w:r>
      <w:r>
        <w:rPr>
          <w:rFonts w:ascii="Times New Roman" w:hAnsi="Times New Roman" w:cs="Times New Roman"/>
          <w:sz w:val="24"/>
          <w:szCs w:val="24"/>
        </w:rPr>
        <w:t xml:space="preserve">et </w:t>
      </w:r>
      <w:r w:rsidRPr="00560D1B">
        <w:rPr>
          <w:rFonts w:ascii="Times New Roman" w:hAnsi="Times New Roman" w:cs="Times New Roman"/>
          <w:i/>
          <w:sz w:val="24"/>
          <w:szCs w:val="24"/>
        </w:rPr>
        <w:t xml:space="preserve">la sérotonine, </w:t>
      </w:r>
      <w:r>
        <w:rPr>
          <w:rFonts w:ascii="Times New Roman" w:hAnsi="Times New Roman" w:cs="Times New Roman"/>
          <w:sz w:val="24"/>
          <w:szCs w:val="24"/>
        </w:rPr>
        <w:t xml:space="preserve">sont synthétisés en excès. Le GABA dans l'EH a deux sources, l'une endogène par décarboxylation de l'acide glutamique dans les neurones inhibiteurs, et l'autre est la source colique (synthèse du GABA à partir de l'acide glutamique dans le gros intestin sous l'effet des décarboxylases bactériennes) qui contourne le foie par des shunts porto-systémiques. Le GABA qui traverse la barrière </w:t>
      </w:r>
      <w:r w:rsidR="00262D1D">
        <w:rPr>
          <w:rFonts w:ascii="Times New Roman" w:hAnsi="Times New Roman" w:cs="Times New Roman"/>
          <w:sz w:val="24"/>
          <w:szCs w:val="24"/>
        </w:rPr>
        <w:t xml:space="preserve">hémato-encéphalique </w:t>
      </w:r>
      <w:r>
        <w:rPr>
          <w:rFonts w:ascii="Times New Roman" w:hAnsi="Times New Roman" w:cs="Times New Roman"/>
          <w:sz w:val="24"/>
          <w:szCs w:val="24"/>
        </w:rPr>
        <w:t>ainsi que le GABA synthétisé dans les neurones sont stockés dans les vésicules présynaptiques. Après sa libération dans la fente synaptique, le GABA agit sur les récepteurs postsynaptiques et ouvre les canaux Cl</w:t>
      </w:r>
      <w:r w:rsidRPr="00250376">
        <w:rPr>
          <w:rFonts w:ascii="Times New Roman" w:hAnsi="Times New Roman" w:cs="Times New Roman"/>
          <w:sz w:val="24"/>
          <w:szCs w:val="24"/>
          <w:vertAlign w:val="superscript"/>
        </w:rPr>
        <w:t>-</w:t>
      </w:r>
      <w:r>
        <w:rPr>
          <w:rFonts w:ascii="Times New Roman" w:hAnsi="Times New Roman" w:cs="Times New Roman"/>
          <w:sz w:val="24"/>
          <w:szCs w:val="24"/>
        </w:rPr>
        <w:t xml:space="preserve"> , entraînant une hyperpolarisation de la membrane de l' e postsynaptique, ce qui conduit à une inhibition. Les benzodiazépines endogènes, qui sont synthétisées dans le gros intestin sous l'influence de la microflore, ont le même effet. Le taux de benzodiazépines dans le sang, le liquide céphalo-rachidien et l'urine est élevé chez les patients atteints d'EH. Un taux élevé de GABA et de benzodiazépines endogènes est responsable de la somnolence, de la diminution du tonus musculaire et des troubles de la mémoire (amnésie antérograde). L'augmentation du taux de sérotonine dans le SNC est due à un taux élevé de tryptophane dans le sang, qui traverse la barrière</w:t>
      </w:r>
      <w:r w:rsidR="003909FF">
        <w:rPr>
          <w:rFonts w:ascii="Times New Roman" w:hAnsi="Times New Roman" w:cs="Times New Roman"/>
          <w:sz w:val="24"/>
          <w:szCs w:val="24"/>
        </w:rPr>
        <w:t xml:space="preserve"> hémato-encéphalique</w:t>
      </w:r>
      <w:r>
        <w:rPr>
          <w:rFonts w:ascii="Times New Roman" w:hAnsi="Times New Roman" w:cs="Times New Roman"/>
          <w:sz w:val="24"/>
          <w:szCs w:val="24"/>
        </w:rPr>
        <w:t xml:space="preserve">. Au niveau du neurone, le tryptophane, en présence de l'enzyme </w:t>
      </w:r>
      <w:r w:rsidRPr="00560D1B">
        <w:rPr>
          <w:rFonts w:ascii="Times New Roman" w:hAnsi="Times New Roman" w:cs="Times New Roman"/>
          <w:i/>
          <w:sz w:val="24"/>
          <w:szCs w:val="24"/>
        </w:rPr>
        <w:t xml:space="preserve">tryptophane hydrolase, </w:t>
      </w:r>
      <w:r>
        <w:rPr>
          <w:rFonts w:ascii="Times New Roman" w:hAnsi="Times New Roman" w:cs="Times New Roman"/>
          <w:sz w:val="24"/>
          <w:szCs w:val="24"/>
        </w:rPr>
        <w:t xml:space="preserve">est converti en 5-hydrotryptamine (sérotonine). Un taux élevé de sérotonine est responsable de la dépression, de la somnolence et de l'inversion du rythme jour-nuit caractéristique des patients atteints d'EH. </w:t>
      </w:r>
    </w:p>
    <w:p w14:paraId="020C40D3" w14:textId="77777777"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Les faux neurotransmetteurs (</w:t>
      </w:r>
      <w:r w:rsidR="00D00BD6">
        <w:rPr>
          <w:rFonts w:ascii="Times New Roman" w:hAnsi="Times New Roman" w:cs="Times New Roman"/>
          <w:sz w:val="24"/>
          <w:szCs w:val="24"/>
        </w:rPr>
        <w:t>pseudoneurotransmetteurs</w:t>
      </w:r>
      <w:r>
        <w:rPr>
          <w:rFonts w:ascii="Times New Roman" w:hAnsi="Times New Roman" w:cs="Times New Roman"/>
          <w:sz w:val="24"/>
          <w:szCs w:val="24"/>
        </w:rPr>
        <w:t xml:space="preserve">) proviennent de deux sources. La première source résulte de la décarboxylation bactérienne de la phénylalanine et de la tyrosine dans le côlon, avec formation respectivement de </w:t>
      </w:r>
      <w:r w:rsidR="003909FF">
        <w:rPr>
          <w:rFonts w:ascii="Times New Roman" w:hAnsi="Times New Roman" w:cs="Times New Roman"/>
          <w:sz w:val="24"/>
          <w:szCs w:val="24"/>
        </w:rPr>
        <w:t xml:space="preserve">phényléthanolamine </w:t>
      </w:r>
      <w:r>
        <w:rPr>
          <w:rFonts w:ascii="Times New Roman" w:hAnsi="Times New Roman" w:cs="Times New Roman"/>
          <w:sz w:val="24"/>
          <w:szCs w:val="24"/>
        </w:rPr>
        <w:t xml:space="preserve">et d'octopamine. Ces pseudoneurotransmetteurs traversent la barrière hémato-encéphalique et atteignent les neurones. La deuxième source de faux neurotransmetteurs se trouve directement au niveau des neurones, à la suite du métabolisme intracérébral de la phénylalanine et de </w:t>
      </w:r>
      <w:r w:rsidR="00D00BD6">
        <w:rPr>
          <w:rFonts w:ascii="Times New Roman" w:hAnsi="Times New Roman" w:cs="Times New Roman"/>
          <w:sz w:val="24"/>
          <w:szCs w:val="24"/>
        </w:rPr>
        <w:t>la tyrosine</w:t>
      </w:r>
      <w:r>
        <w:rPr>
          <w:rFonts w:ascii="Times New Roman" w:hAnsi="Times New Roman" w:cs="Times New Roman"/>
          <w:sz w:val="24"/>
          <w:szCs w:val="24"/>
        </w:rPr>
        <w:t xml:space="preserve">. Dans les neurones spécialisés, la phénylalanine et la tyrosine sont catabolisées par une autre voie métabolique avec formation de pseudoneurotransmetteurs. Ces deux faux neurotransmetteurs (octopamine et </w:t>
      </w:r>
      <w:r w:rsidR="003909FF">
        <w:rPr>
          <w:rFonts w:ascii="Times New Roman" w:hAnsi="Times New Roman" w:cs="Times New Roman"/>
          <w:sz w:val="24"/>
          <w:szCs w:val="24"/>
        </w:rPr>
        <w:t>phényléthanolamine</w:t>
      </w:r>
      <w:r>
        <w:rPr>
          <w:rFonts w:ascii="Times New Roman" w:hAnsi="Times New Roman" w:cs="Times New Roman"/>
          <w:sz w:val="24"/>
          <w:szCs w:val="24"/>
        </w:rPr>
        <w:t>), associés à la sérotonine et au GABA, sont responsables de la prédominance de l'effet inhibiteur sur les effets excitateurs chez les patients atteints d'EH.</w:t>
      </w:r>
    </w:p>
    <w:p w14:paraId="2B1F9B0C" w14:textId="77777777" w:rsidR="002F45B8" w:rsidRPr="00ED3ACE" w:rsidRDefault="002F45B8" w:rsidP="002F45B8">
      <w:pPr>
        <w:pStyle w:val="Listparagraf"/>
        <w:ind w:left="-142" w:firstLine="850"/>
        <w:jc w:val="both"/>
        <w:rPr>
          <w:rFonts w:ascii="Times New Roman" w:hAnsi="Times New Roman" w:cs="Times New Roman"/>
          <w:i/>
          <w:sz w:val="24"/>
          <w:szCs w:val="24"/>
        </w:rPr>
      </w:pPr>
      <w:r w:rsidRPr="00ED3ACE">
        <w:rPr>
          <w:rFonts w:ascii="Times New Roman" w:hAnsi="Times New Roman" w:cs="Times New Roman"/>
          <w:i/>
          <w:sz w:val="24"/>
          <w:szCs w:val="24"/>
        </w:rPr>
        <w:t xml:space="preserve">Concept de réduction de l'énergogenèse </w:t>
      </w:r>
    </w:p>
    <w:p w14:paraId="768BDE45" w14:textId="77777777"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Ce concept peut s'expliquer par de nombreux facteurs pathogènes. Hypoglycémie due à une réduction de la néoglucogenèse et à une augmentation du taux d'insuline, effets de l'ammoniac (voir ci-dessus), effets des mercaptans.</w:t>
      </w:r>
    </w:p>
    <w:p w14:paraId="6EDAF5C6" w14:textId="77777777" w:rsidR="002F45B8" w:rsidRDefault="002F45B8" w:rsidP="002F45B8">
      <w:pPr>
        <w:pStyle w:val="Listparagraf"/>
        <w:ind w:left="-142" w:firstLine="850"/>
        <w:jc w:val="both"/>
        <w:rPr>
          <w:rFonts w:ascii="Times New Roman" w:hAnsi="Times New Roman" w:cs="Times New Roman"/>
          <w:i/>
          <w:sz w:val="24"/>
          <w:szCs w:val="24"/>
        </w:rPr>
      </w:pPr>
      <w:r w:rsidRPr="00ED3ACE">
        <w:rPr>
          <w:rFonts w:ascii="Times New Roman" w:hAnsi="Times New Roman" w:cs="Times New Roman"/>
          <w:i/>
          <w:sz w:val="24"/>
          <w:szCs w:val="24"/>
        </w:rPr>
        <w:t>Concept de stress oxydatif et nitrosatif</w:t>
      </w:r>
    </w:p>
    <w:p w14:paraId="61139EBE" w14:textId="77777777" w:rsidR="002F45B8" w:rsidRPr="009A6BEE" w:rsidRDefault="002F45B8" w:rsidP="002F45B8">
      <w:pPr>
        <w:pStyle w:val="Listparagraf"/>
        <w:ind w:left="-142" w:firstLine="850"/>
        <w:jc w:val="both"/>
        <w:rPr>
          <w:rFonts w:ascii="Times New Roman" w:hAnsi="Times New Roman" w:cs="Times New Roman"/>
          <w:sz w:val="24"/>
          <w:szCs w:val="24"/>
        </w:rPr>
      </w:pPr>
      <w:r w:rsidRPr="009A6BEE">
        <w:rPr>
          <w:rFonts w:ascii="Times New Roman" w:hAnsi="Times New Roman" w:cs="Times New Roman"/>
          <w:sz w:val="24"/>
          <w:szCs w:val="24"/>
        </w:rPr>
        <w:t>Les espèces réactives de l'oxygène agissent comme des modulateurs au niveau des synapses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Lorsqu'elles s'accumulent en grande quantité (</w:t>
      </w:r>
      <w:r w:rsidR="00A1049C">
        <w:rPr>
          <w:rFonts w:ascii="Times New Roman" w:hAnsi="Times New Roman" w:cs="Times New Roman"/>
          <w:sz w:val="24"/>
          <w:szCs w:val="24"/>
        </w:rPr>
        <w:t xml:space="preserve">consommation </w:t>
      </w:r>
      <w:r>
        <w:rPr>
          <w:rFonts w:ascii="Times New Roman" w:hAnsi="Times New Roman" w:cs="Times New Roman"/>
          <w:sz w:val="24"/>
          <w:szCs w:val="24"/>
        </w:rPr>
        <w:t xml:space="preserve">chronique </w:t>
      </w:r>
      <w:r w:rsidR="00A1049C">
        <w:rPr>
          <w:rFonts w:ascii="Times New Roman" w:hAnsi="Times New Roman" w:cs="Times New Roman"/>
          <w:sz w:val="24"/>
          <w:szCs w:val="24"/>
        </w:rPr>
        <w:t>d'alcool, hépatotoxines</w:t>
      </w:r>
      <w:r>
        <w:rPr>
          <w:rFonts w:ascii="Times New Roman" w:hAnsi="Times New Roman" w:cs="Times New Roman"/>
          <w:sz w:val="24"/>
          <w:szCs w:val="24"/>
        </w:rPr>
        <w:t>), les radicaux libres déclenchent un stress oxydatif qui interfère avec la transmission synaptique. Une exposition prolongée des neurones à une concentration élevée de H</w:t>
      </w:r>
      <w:r w:rsidRPr="009A6BEE">
        <w:rPr>
          <w:rFonts w:ascii="Times New Roman" w:hAnsi="Times New Roman" w:cs="Times New Roman"/>
          <w:sz w:val="24"/>
          <w:szCs w:val="24"/>
          <w:vertAlign w:val="subscript"/>
        </w:rPr>
        <w:t>2</w:t>
      </w:r>
      <w:r>
        <w:rPr>
          <w:rFonts w:ascii="Times New Roman" w:hAnsi="Times New Roman" w:cs="Times New Roman"/>
          <w:sz w:val="24"/>
          <w:szCs w:val="24"/>
        </w:rPr>
        <w:t xml:space="preserve"> O</w:t>
      </w:r>
      <w:r w:rsidRPr="009A6BEE">
        <w:rPr>
          <w:rFonts w:ascii="Times New Roman" w:hAnsi="Times New Roman" w:cs="Times New Roman"/>
          <w:sz w:val="24"/>
          <w:szCs w:val="24"/>
          <w:vertAlign w:val="subscript"/>
        </w:rPr>
        <w:t>2</w:t>
      </w:r>
      <w:r>
        <w:rPr>
          <w:rFonts w:ascii="Times New Roman" w:hAnsi="Times New Roman" w:cs="Times New Roman"/>
          <w:sz w:val="24"/>
          <w:szCs w:val="24"/>
        </w:rPr>
        <w:t xml:space="preserve">  entraîne l'activation des récepteurs NMDA. L'activation des récepteurs NMDA entraîne une accumulation d'ions Ca</w:t>
      </w:r>
      <w:r w:rsidRPr="009A6BEE">
        <w:rPr>
          <w:rFonts w:ascii="Times New Roman" w:hAnsi="Times New Roman" w:cs="Times New Roman"/>
          <w:sz w:val="24"/>
          <w:szCs w:val="24"/>
          <w:vertAlign w:val="superscript"/>
        </w:rPr>
        <w:t>2+</w:t>
      </w:r>
      <w:r>
        <w:rPr>
          <w:rFonts w:ascii="Times New Roman" w:hAnsi="Times New Roman" w:cs="Times New Roman"/>
          <w:sz w:val="24"/>
          <w:szCs w:val="24"/>
        </w:rPr>
        <w:t xml:space="preserve">  à l'intérieur des neurones, ce qui déclenche une série d'événements pathologiques ainsi que la libération d'oxyde nitrique (NO).  Dans l'HE aiguë comme dans l'HE chronique, on observe une augmentation de l'expression de l'oxyde nitrique synthase (NOS) associée à une augmentation de l'absorption de L-arginine par les neurones (</w:t>
      </w:r>
      <w:r w:rsidR="00262D1D">
        <w:rPr>
          <w:rFonts w:ascii="Times New Roman" w:hAnsi="Times New Roman" w:cs="Times New Roman"/>
          <w:sz w:val="24"/>
          <w:szCs w:val="24"/>
        </w:rPr>
        <w:t xml:space="preserve">l'arginine </w:t>
      </w:r>
      <w:r>
        <w:rPr>
          <w:rFonts w:ascii="Times New Roman" w:hAnsi="Times New Roman" w:cs="Times New Roman"/>
          <w:sz w:val="24"/>
          <w:szCs w:val="24"/>
        </w:rPr>
        <w:t xml:space="preserve">est le précurseur du NO). L'hyperammoniémie dans l'insuffisance hépatique est également responsable d'une augmentation de la production de NO, entraînant par la suite des troubles de la mémoire et un œdème cérébral aigu. </w:t>
      </w:r>
    </w:p>
    <w:p w14:paraId="48BDDBEE" w14:textId="77777777" w:rsidR="002F45B8" w:rsidRDefault="002F45B8" w:rsidP="002F45B8">
      <w:pPr>
        <w:pStyle w:val="Listparagraf"/>
        <w:ind w:left="-142" w:firstLine="850"/>
        <w:jc w:val="both"/>
        <w:rPr>
          <w:rFonts w:ascii="Times New Roman" w:hAnsi="Times New Roman" w:cs="Times New Roman"/>
          <w:sz w:val="24"/>
          <w:szCs w:val="24"/>
        </w:rPr>
      </w:pPr>
    </w:p>
    <w:p w14:paraId="36AB0B6F" w14:textId="77777777" w:rsidR="002F45B8" w:rsidRPr="00997FFC" w:rsidRDefault="002B4116" w:rsidP="002B4116">
      <w:pPr>
        <w:pStyle w:val="Listparagraf"/>
        <w:ind w:left="-142" w:firstLine="850"/>
        <w:jc w:val="center"/>
        <w:rPr>
          <w:rFonts w:ascii="Times New Roman" w:hAnsi="Times New Roman" w:cs="Times New Roman"/>
          <w:sz w:val="24"/>
          <w:szCs w:val="24"/>
        </w:rPr>
      </w:pPr>
      <w:r w:rsidRPr="002B4116">
        <w:rPr>
          <w:rFonts w:ascii="Times New Roman" w:hAnsi="Times New Roman" w:cs="Times New Roman"/>
          <w:noProof/>
          <w:sz w:val="24"/>
          <w:szCs w:val="24"/>
          <w:lang w:val="en-GB" w:eastAsia="en-GB"/>
        </w:rPr>
        <w:drawing>
          <wp:inline distT="0" distB="0" distL="0" distR="0" wp14:anchorId="6CE4AE78" wp14:editId="1C06110E">
            <wp:extent cx="5441310" cy="5435153"/>
            <wp:effectExtent l="19050" t="19050" r="26040" b="13147"/>
            <wp:docPr id="9" name="Рисунок 5" descr="C:\Users\Iuliana\Desktop\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L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609" cy="5435452"/>
                    </a:xfrm>
                    <a:prstGeom prst="rect">
                      <a:avLst/>
                    </a:prstGeom>
                    <a:noFill/>
                    <a:ln>
                      <a:solidFill>
                        <a:schemeClr val="tx1"/>
                      </a:solidFill>
                    </a:ln>
                  </pic:spPr>
                </pic:pic>
              </a:graphicData>
            </a:graphic>
          </wp:inline>
        </w:drawing>
      </w:r>
    </w:p>
    <w:p w14:paraId="5AE27039" w14:textId="77777777" w:rsidR="002B4116" w:rsidRDefault="002B4116" w:rsidP="002B4116">
      <w:pPr>
        <w:autoSpaceDE w:val="0"/>
        <w:autoSpaceDN w:val="0"/>
        <w:adjustRightInd w:val="0"/>
        <w:spacing w:after="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3F3F67">
        <w:rPr>
          <w:rFonts w:ascii="Times New Roman" w:hAnsi="Times New Roman" w:cs="Times New Roman"/>
          <w:b/>
          <w:sz w:val="24"/>
          <w:szCs w:val="24"/>
        </w:rPr>
        <w:t xml:space="preserve"> 4</w:t>
      </w:r>
      <w:r w:rsidR="00D00BD6">
        <w:rPr>
          <w:rFonts w:ascii="Times New Roman" w:hAnsi="Times New Roman" w:cs="Times New Roman"/>
          <w:b/>
          <w:sz w:val="24"/>
          <w:szCs w:val="24"/>
        </w:rPr>
        <w:t xml:space="preserve">. </w:t>
      </w:r>
      <w:r w:rsidRPr="00425C12">
        <w:rPr>
          <w:rFonts w:ascii="Times New Roman" w:hAnsi="Times New Roman" w:cs="Times New Roman"/>
          <w:b/>
          <w:sz w:val="24"/>
          <w:szCs w:val="24"/>
        </w:rPr>
        <w:t xml:space="preserve">Causes et conséquences de l'insuffisance hépatique </w:t>
      </w:r>
    </w:p>
    <w:p w14:paraId="3BF81ED0" w14:textId="77777777" w:rsidR="002B4116" w:rsidRDefault="002B4116" w:rsidP="002B411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S. Silbernagl et F. Lang ; Atlas couleur de pathophysiologie)</w:t>
      </w:r>
    </w:p>
    <w:p w14:paraId="38C2DED0" w14:textId="77777777" w:rsidR="00425C12" w:rsidRPr="00425C12" w:rsidRDefault="00425C12" w:rsidP="002B4116">
      <w:pPr>
        <w:autoSpaceDE w:val="0"/>
        <w:autoSpaceDN w:val="0"/>
        <w:adjustRightInd w:val="0"/>
        <w:spacing w:after="0"/>
        <w:rPr>
          <w:rFonts w:ascii="Times New Roman" w:hAnsi="Times New Roman" w:cs="Times New Roman"/>
          <w:b/>
          <w:sz w:val="24"/>
          <w:szCs w:val="24"/>
        </w:rPr>
      </w:pPr>
    </w:p>
    <w:p w14:paraId="26EAB5D2" w14:textId="77777777" w:rsidR="00711877" w:rsidRDefault="00CD7853" w:rsidP="00425C12">
      <w:pPr>
        <w:autoSpaceDE w:val="0"/>
        <w:autoSpaceDN w:val="0"/>
        <w:adjustRightInd w:val="0"/>
        <w:spacing w:after="0"/>
        <w:ind w:firstLine="720"/>
        <w:jc w:val="both"/>
        <w:rPr>
          <w:rFonts w:ascii="Times New Roman" w:hAnsi="Times New Roman" w:cs="Times New Roman"/>
          <w:sz w:val="24"/>
          <w:szCs w:val="24"/>
        </w:rPr>
      </w:pPr>
      <w:r w:rsidRPr="002B4116">
        <w:rPr>
          <w:rFonts w:ascii="Times New Roman" w:hAnsi="Times New Roman" w:cs="Times New Roman"/>
          <w:i/>
          <w:sz w:val="24"/>
          <w:szCs w:val="24"/>
        </w:rPr>
        <w:t>Syndrome</w:t>
      </w:r>
      <w:r w:rsidR="00784E4C" w:rsidRPr="002B4116">
        <w:rPr>
          <w:rFonts w:ascii="Times New Roman" w:hAnsi="Times New Roman" w:cs="Times New Roman"/>
          <w:i/>
          <w:sz w:val="24"/>
          <w:szCs w:val="24"/>
        </w:rPr>
        <w:t xml:space="preserve"> hépatorénal</w:t>
      </w:r>
      <w:r w:rsidRPr="00CD7853">
        <w:rPr>
          <w:rFonts w:ascii="Times New Roman" w:hAnsi="Times New Roman" w:cs="Times New Roman"/>
          <w:sz w:val="24"/>
          <w:szCs w:val="24"/>
        </w:rPr>
        <w:t xml:space="preserve">. Le syndrome hépatorénal désigne une insuffisance rénale fonctionnelle parfois observée au stade terminal </w:t>
      </w:r>
      <w:r w:rsidR="00425C12">
        <w:rPr>
          <w:rFonts w:ascii="Times New Roman" w:hAnsi="Times New Roman" w:cs="Times New Roman"/>
          <w:sz w:val="24"/>
          <w:szCs w:val="24"/>
        </w:rPr>
        <w:t xml:space="preserve">d'une insuffisance hépatique avec ascite. </w:t>
      </w:r>
      <w:r w:rsidRPr="00CD7853">
        <w:rPr>
          <w:rFonts w:ascii="Times New Roman" w:hAnsi="Times New Roman" w:cs="Times New Roman"/>
          <w:sz w:val="24"/>
          <w:szCs w:val="24"/>
        </w:rPr>
        <w:t xml:space="preserve"> Il se caractérise par une azotémie progressive, une augmentation du taux de créatinine sérique et une oligurie. Bien que la cause fondamentale soit inconnue, on pense qu'une diminution du débit sanguin rénal joue un rôle. En fin de compte, lorsque l'insuffisance rénale se superpose à l'insuffisance hépatique, une azotémie et une élévation du taux d'ammoniac dans le sang surviennent ; on pense que cet état contribue à </w:t>
      </w:r>
      <w:r w:rsidR="00425C12">
        <w:rPr>
          <w:rFonts w:ascii="Times New Roman" w:hAnsi="Times New Roman" w:cs="Times New Roman"/>
          <w:sz w:val="24"/>
          <w:szCs w:val="24"/>
        </w:rPr>
        <w:t xml:space="preserve">l'encéphalopathie hépatique et au coma. </w:t>
      </w:r>
      <w:r w:rsidR="00425C12" w:rsidRPr="00425C12">
        <w:rPr>
          <w:rFonts w:ascii="Times New Roman" w:hAnsi="Times New Roman" w:cs="Times New Roman"/>
          <w:sz w:val="24"/>
          <w:szCs w:val="24"/>
        </w:rPr>
        <w:t xml:space="preserve">Plusieurs facteurs contribuent </w:t>
      </w:r>
      <w:r w:rsidR="00711877">
        <w:rPr>
          <w:rFonts w:ascii="Times New Roman" w:hAnsi="Times New Roman" w:cs="Times New Roman"/>
          <w:sz w:val="24"/>
          <w:szCs w:val="24"/>
        </w:rPr>
        <w:t>au développement de ce syndrome.</w:t>
      </w:r>
    </w:p>
    <w:p w14:paraId="154DEE1E" w14:textId="77777777" w:rsidR="00425C12" w:rsidRPr="00425C12" w:rsidRDefault="00425C12" w:rsidP="00425C12">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Dans la cirrhose hépatique, une congestion du système veineux porte due au rétrécissement des vaisseaux sanguins</w:t>
      </w:r>
    </w:p>
    <w:p w14:paraId="69B4AA8B" w14:textId="77777777" w:rsidR="00425C12" w:rsidRPr="00425C12" w:rsidRDefault="00425C12" w:rsidP="00425C12">
      <w:pPr>
        <w:autoSpaceDE w:val="0"/>
        <w:autoSpaceDN w:val="0"/>
        <w:adjustRightInd w:val="0"/>
        <w:spacing w:after="0"/>
        <w:jc w:val="both"/>
        <w:rPr>
          <w:rFonts w:ascii="Times New Roman" w:hAnsi="Times New Roman" w:cs="Times New Roman"/>
          <w:sz w:val="24"/>
          <w:szCs w:val="24"/>
        </w:rPr>
      </w:pPr>
      <w:r w:rsidRPr="00425C12">
        <w:rPr>
          <w:rFonts w:ascii="Times New Roman" w:hAnsi="Times New Roman" w:cs="Times New Roman"/>
          <w:sz w:val="24"/>
          <w:szCs w:val="24"/>
        </w:rPr>
        <w:t xml:space="preserve">dans le foie. La pression hydrostatique dans les capillaires augmente et des quantités excessives de liquide sont filtrées dans la cavité abdominale (ascite). En raison de la perméabilité élevée des sinusoidaux hépatiques aux protéines, les protéines plasmatiques sont également perdues dans l'espace extracellulaire. De plus, moins de protéines plasmatiques sont </w:t>
      </w:r>
      <w:r w:rsidR="00543FE2">
        <w:rPr>
          <w:rFonts w:ascii="Times New Roman" w:hAnsi="Times New Roman" w:cs="Times New Roman"/>
          <w:sz w:val="24"/>
          <w:szCs w:val="24"/>
        </w:rPr>
        <w:t xml:space="preserve">produites dans le parenchyme hépatique. </w:t>
      </w:r>
      <w:r w:rsidR="007F3A0A">
        <w:rPr>
          <w:rFonts w:ascii="Times New Roman" w:hAnsi="Times New Roman" w:cs="Times New Roman"/>
          <w:sz w:val="24"/>
          <w:szCs w:val="24"/>
        </w:rPr>
        <w:t xml:space="preserve">L'hypoprotéinémie d' qui en résulte entraîne </w:t>
      </w:r>
      <w:r w:rsidRPr="00425C12">
        <w:rPr>
          <w:rFonts w:ascii="Times New Roman" w:hAnsi="Times New Roman" w:cs="Times New Roman"/>
          <w:sz w:val="24"/>
          <w:szCs w:val="24"/>
        </w:rPr>
        <w:t xml:space="preserve">une augmentation de la filtration de l'eau plasmatique et donc le développement d'œdèmes périphériques. La formation d'ascite et d'œdèmes périphériques se fait au détriment du volume plasmatique circulant. Il en résulte une hypovolémie. Au cours de l'évolution de la maladie, une vasodilatation périphérique se produit. </w:t>
      </w:r>
      <w:r w:rsidR="007F3A0A">
        <w:rPr>
          <w:rFonts w:ascii="Times New Roman" w:hAnsi="Times New Roman" w:cs="Times New Roman"/>
          <w:sz w:val="24"/>
          <w:szCs w:val="24"/>
        </w:rPr>
        <w:t>Les médiateurs vasodilatateurs (</w:t>
      </w:r>
      <w:r w:rsidRPr="00425C12">
        <w:rPr>
          <w:rFonts w:ascii="Times New Roman" w:hAnsi="Times New Roman" w:cs="Times New Roman"/>
          <w:sz w:val="24"/>
          <w:szCs w:val="24"/>
        </w:rPr>
        <w:t xml:space="preserve">substance P) produits dans l'intestin et les endotoxines libérées par les bactéries sont normalement détoxifiés dans le foie. Dans la cirrhose hépatique, la perte de parenchyme hépatique et l'augmentation de la quantité de sang passant de la circulation portale directement dans la circulation systémique, court-circuitant le foie, amènent ces substances dans la circulation systémique sans entrave. Les médiateurs ont un effet vasodilatateur direct, tandis que les endotoxines exercent un effet vasodilatateur en stimulant l'expression de l'oxyde nitrique synthase (iNOS). Cela peut entraîner une chute de la pression artérielle, provoquant une stimulation sympathique massive. Ceci, associé à l'hypovolémie, entraîne une diminution </w:t>
      </w:r>
      <w:r w:rsidR="007F3A0A">
        <w:rPr>
          <w:rFonts w:ascii="Times New Roman" w:hAnsi="Times New Roman" w:cs="Times New Roman"/>
          <w:sz w:val="24"/>
          <w:szCs w:val="24"/>
        </w:rPr>
        <w:t>de la perfusion</w:t>
      </w:r>
      <w:r w:rsidRPr="00425C12">
        <w:rPr>
          <w:rFonts w:ascii="Times New Roman" w:hAnsi="Times New Roman" w:cs="Times New Roman"/>
          <w:sz w:val="24"/>
          <w:szCs w:val="24"/>
        </w:rPr>
        <w:t xml:space="preserve"> rénale </w:t>
      </w:r>
      <w:r w:rsidR="007F3A0A">
        <w:rPr>
          <w:rFonts w:ascii="Times New Roman" w:hAnsi="Times New Roman" w:cs="Times New Roman"/>
          <w:sz w:val="24"/>
          <w:szCs w:val="24"/>
        </w:rPr>
        <w:t xml:space="preserve">et donc une chute du DFG. </w:t>
      </w:r>
      <w:r w:rsidRPr="00425C12">
        <w:rPr>
          <w:rFonts w:ascii="Times New Roman" w:hAnsi="Times New Roman" w:cs="Times New Roman"/>
          <w:sz w:val="24"/>
          <w:szCs w:val="24"/>
        </w:rPr>
        <w:t xml:space="preserve">La réduction du débit sanguin rénal favorise la libération de rénine et donc la formation d'angiotensine II, </w:t>
      </w:r>
      <w:r w:rsidR="007F3A0A" w:rsidRPr="00425C12">
        <w:rPr>
          <w:rFonts w:ascii="Times New Roman" w:hAnsi="Times New Roman" w:cs="Times New Roman"/>
          <w:sz w:val="24"/>
          <w:szCs w:val="24"/>
        </w:rPr>
        <w:t xml:space="preserve">d'aldostérone </w:t>
      </w:r>
      <w:r w:rsidR="007F3A0A">
        <w:rPr>
          <w:rFonts w:ascii="Times New Roman" w:hAnsi="Times New Roman" w:cs="Times New Roman"/>
          <w:sz w:val="24"/>
          <w:szCs w:val="24"/>
        </w:rPr>
        <w:t>et d'ADH</w:t>
      </w:r>
      <w:r w:rsidRPr="00425C12">
        <w:rPr>
          <w:rFonts w:ascii="Times New Roman" w:hAnsi="Times New Roman" w:cs="Times New Roman"/>
          <w:sz w:val="24"/>
          <w:szCs w:val="24"/>
        </w:rPr>
        <w:t>. L'ADH et l'aldostérone augmentent la réabsorption tubulaire d'eau et de chlorure de sodium (perte de potassium), et le rein excrète de petits volumes d'urine très concentrée (oligurie).</w:t>
      </w:r>
    </w:p>
    <w:p w14:paraId="52FF98CC" w14:textId="77777777" w:rsidR="00425C12" w:rsidRPr="00425C12" w:rsidRDefault="00425C12" w:rsidP="007F3A0A">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 xml:space="preserve">L'inactivation hépatique incomplète des médiateurs qui ont un effet vasoconstricteur direct </w:t>
      </w:r>
      <w:r w:rsidR="007F3A0A">
        <w:rPr>
          <w:rFonts w:ascii="Times New Roman" w:hAnsi="Times New Roman" w:cs="Times New Roman"/>
          <w:sz w:val="24"/>
          <w:szCs w:val="24"/>
        </w:rPr>
        <w:t>sur le rein (</w:t>
      </w:r>
      <w:r w:rsidRPr="00425C12">
        <w:rPr>
          <w:rFonts w:ascii="Times New Roman" w:hAnsi="Times New Roman" w:cs="Times New Roman"/>
          <w:sz w:val="24"/>
          <w:szCs w:val="24"/>
        </w:rPr>
        <w:t>leucotriènes) contribue également à la vasoconstriction rénale.</w:t>
      </w:r>
      <w:r w:rsidR="007F3A0A">
        <w:rPr>
          <w:rFonts w:ascii="Times New Roman" w:hAnsi="Times New Roman" w:cs="Times New Roman"/>
          <w:sz w:val="24"/>
          <w:szCs w:val="24"/>
        </w:rPr>
        <w:t xml:space="preserve"> </w:t>
      </w:r>
      <w:r w:rsidRPr="00425C12">
        <w:rPr>
          <w:rFonts w:ascii="Times New Roman" w:hAnsi="Times New Roman" w:cs="Times New Roman"/>
          <w:sz w:val="24"/>
          <w:szCs w:val="24"/>
        </w:rPr>
        <w:t xml:space="preserve">L'ischémie rénale stimule normalement la libération de prostaglandines vasodilatatrices qui empêchent une réduction supplémentaire de la perfusion rénale. Si </w:t>
      </w:r>
      <w:r w:rsidR="007F3A0A">
        <w:rPr>
          <w:rFonts w:ascii="Times New Roman" w:hAnsi="Times New Roman" w:cs="Times New Roman"/>
          <w:sz w:val="24"/>
          <w:szCs w:val="24"/>
        </w:rPr>
        <w:t xml:space="preserve">la formation de prostaglandines </w:t>
      </w:r>
      <w:r w:rsidRPr="00425C12">
        <w:rPr>
          <w:rFonts w:ascii="Times New Roman" w:hAnsi="Times New Roman" w:cs="Times New Roman"/>
          <w:sz w:val="24"/>
          <w:szCs w:val="24"/>
        </w:rPr>
        <w:t xml:space="preserve">est insuffisante </w:t>
      </w:r>
      <w:r w:rsidR="007F3A0A">
        <w:rPr>
          <w:rFonts w:ascii="Times New Roman" w:hAnsi="Times New Roman" w:cs="Times New Roman"/>
          <w:sz w:val="24"/>
          <w:szCs w:val="24"/>
        </w:rPr>
        <w:t>(</w:t>
      </w:r>
      <w:r w:rsidRPr="00425C12">
        <w:rPr>
          <w:rFonts w:ascii="Times New Roman" w:hAnsi="Times New Roman" w:cs="Times New Roman"/>
          <w:sz w:val="24"/>
          <w:szCs w:val="24"/>
        </w:rPr>
        <w:t xml:space="preserve">en raison de l'administration d'inhibiteurs de la synthèse des prostaglandines), ce mécanisme de protection est supprimé et le développement de l'insuffisance rénale s'accélère. Une diminution de la capacité à synthétiser les prostaglandines (manque de précurseurs ?) a en effet été observée chez les patients atteints du syndrome hépatorénal. La vasoconstriction rénale peut également être provoquée par une encéphalopathie hépatique. La réduction de l'activité métabolique du </w:t>
      </w:r>
      <w:r w:rsidR="007F3A0A">
        <w:rPr>
          <w:rFonts w:ascii="Times New Roman" w:hAnsi="Times New Roman" w:cs="Times New Roman"/>
          <w:sz w:val="24"/>
          <w:szCs w:val="24"/>
        </w:rPr>
        <w:t xml:space="preserve">foie entraîne une modification de </w:t>
      </w:r>
      <w:r w:rsidRPr="00425C12">
        <w:rPr>
          <w:rFonts w:ascii="Times New Roman" w:hAnsi="Times New Roman" w:cs="Times New Roman"/>
          <w:sz w:val="24"/>
          <w:szCs w:val="24"/>
        </w:rPr>
        <w:t>la concentration en acides aminés et une augmentation de la concentration en NH</w:t>
      </w:r>
      <w:r w:rsidRPr="00711877">
        <w:rPr>
          <w:rFonts w:ascii="Times New Roman" w:hAnsi="Times New Roman" w:cs="Times New Roman"/>
          <w:sz w:val="24"/>
          <w:szCs w:val="24"/>
          <w:vertAlign w:val="subscript"/>
        </w:rPr>
        <w:t>4</w:t>
      </w:r>
      <w:r w:rsidRPr="00711877">
        <w:rPr>
          <w:rFonts w:ascii="Times New Roman" w:hAnsi="Times New Roman" w:cs="Times New Roman"/>
          <w:sz w:val="24"/>
          <w:szCs w:val="24"/>
          <w:vertAlign w:val="superscript"/>
        </w:rPr>
        <w:t>+</w:t>
      </w:r>
      <w:r w:rsidRPr="00425C12">
        <w:rPr>
          <w:rFonts w:ascii="Times New Roman" w:hAnsi="Times New Roman" w:cs="Times New Roman"/>
          <w:sz w:val="24"/>
          <w:szCs w:val="24"/>
        </w:rPr>
        <w:t xml:space="preserve">  dans le sang et le cerveau. Cela provoque un gonflement des cellules gliales </w:t>
      </w:r>
      <w:r w:rsidR="007F3A0A">
        <w:rPr>
          <w:rFonts w:ascii="Times New Roman" w:hAnsi="Times New Roman" w:cs="Times New Roman"/>
          <w:sz w:val="24"/>
          <w:szCs w:val="24"/>
        </w:rPr>
        <w:t xml:space="preserve">(astrocytes) </w:t>
      </w:r>
      <w:r w:rsidRPr="00425C12">
        <w:rPr>
          <w:rFonts w:ascii="Times New Roman" w:hAnsi="Times New Roman" w:cs="Times New Roman"/>
          <w:sz w:val="24"/>
          <w:szCs w:val="24"/>
        </w:rPr>
        <w:t xml:space="preserve">et une perturbation profonde du métabolisme des neurotransmetteurs dans le cerveau qui, via l'activation du système nerveux sympathique, entraîne une constriction vasculaire rénale. En raison de l'altération de l'activité synthétique du foie, moins de kininogène est formé, et donc </w:t>
      </w:r>
      <w:r w:rsidR="007F3A0A">
        <w:rPr>
          <w:rFonts w:ascii="Times New Roman" w:hAnsi="Times New Roman" w:cs="Times New Roman"/>
          <w:sz w:val="24"/>
          <w:szCs w:val="24"/>
        </w:rPr>
        <w:t>trop peu de kinines vasodilatatrices (</w:t>
      </w:r>
      <w:r w:rsidRPr="00425C12">
        <w:rPr>
          <w:rFonts w:ascii="Times New Roman" w:hAnsi="Times New Roman" w:cs="Times New Roman"/>
          <w:sz w:val="24"/>
          <w:szCs w:val="24"/>
        </w:rPr>
        <w:t>bradykinine), ce qui facilite la vasoconstriction rénale.</w:t>
      </w:r>
    </w:p>
    <w:p w14:paraId="32959F14" w14:textId="77777777" w:rsidR="00425C12" w:rsidRDefault="00425C12" w:rsidP="007F3A0A">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 xml:space="preserve">Enfin, un métabolisme lipidique anormal peut contribuer à des lésions rénales en cas d'insuffisance hépatique. Entre autres conséquences, le foie produit moins de lécithine-cholestérol acyltransférase (LCAT), une enzyme qui estérifie le cholestérol avec des acides gras et joue un rôle important dans la dégradation ou la transformation des lipoprotéines. Dans le cas d'un déficit familial en LCAT (dû à un défaut enzymatique), une insuffisance rénale survient régulièrement, probablement en raison d'un dépôt de lipides dans les reins </w:t>
      </w:r>
      <w:r w:rsidR="007F3A0A">
        <w:rPr>
          <w:rFonts w:ascii="Times New Roman" w:hAnsi="Times New Roman" w:cs="Times New Roman"/>
          <w:sz w:val="24"/>
          <w:szCs w:val="24"/>
        </w:rPr>
        <w:t>(Fig.</w:t>
      </w:r>
      <w:r w:rsidR="00262D1D">
        <w:rPr>
          <w:rFonts w:ascii="Times New Roman" w:hAnsi="Times New Roman" w:cs="Times New Roman"/>
          <w:sz w:val="24"/>
          <w:szCs w:val="24"/>
        </w:rPr>
        <w:t xml:space="preserve"> 5</w:t>
      </w:r>
      <w:r w:rsidR="007F3A0A">
        <w:rPr>
          <w:rFonts w:ascii="Times New Roman" w:hAnsi="Times New Roman" w:cs="Times New Roman"/>
          <w:sz w:val="24"/>
          <w:szCs w:val="24"/>
        </w:rPr>
        <w:t>)</w:t>
      </w:r>
      <w:r>
        <w:rPr>
          <w:rFonts w:ascii="Times New Roman" w:hAnsi="Times New Roman" w:cs="Times New Roman"/>
          <w:sz w:val="24"/>
          <w:szCs w:val="24"/>
        </w:rPr>
        <w:t>.</w:t>
      </w:r>
    </w:p>
    <w:p w14:paraId="31049B5B" w14:textId="77777777" w:rsidR="00425C12" w:rsidRDefault="00425C12" w:rsidP="00425C12">
      <w:pPr>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2FC914D6" wp14:editId="50312BE9">
            <wp:extent cx="5576552" cy="5377074"/>
            <wp:effectExtent l="19050" t="19050" r="24148" b="14076"/>
            <wp:docPr id="6" name="Рисунок 6" descr="C:\Users\Iuliana\Desktop\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H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6984" cy="5377491"/>
                    </a:xfrm>
                    <a:prstGeom prst="rect">
                      <a:avLst/>
                    </a:prstGeom>
                    <a:noFill/>
                    <a:ln>
                      <a:solidFill>
                        <a:schemeClr val="tx1"/>
                      </a:solidFill>
                    </a:ln>
                  </pic:spPr>
                </pic:pic>
              </a:graphicData>
            </a:graphic>
          </wp:inline>
        </w:drawing>
      </w:r>
    </w:p>
    <w:p w14:paraId="18C8CAC7" w14:textId="77777777" w:rsidR="00425C12" w:rsidRDefault="00425C12" w:rsidP="00425C12">
      <w:pPr>
        <w:autoSpaceDE w:val="0"/>
        <w:autoSpaceDN w:val="0"/>
        <w:adjustRightInd w:val="0"/>
        <w:spacing w:after="0"/>
        <w:ind w:firstLine="720"/>
        <w:jc w:val="center"/>
        <w:rPr>
          <w:rFonts w:ascii="Times New Roman" w:hAnsi="Times New Roman" w:cs="Times New Roman"/>
          <w:sz w:val="24"/>
          <w:szCs w:val="24"/>
        </w:rPr>
      </w:pPr>
    </w:p>
    <w:p w14:paraId="6A17EA2A" w14:textId="77777777" w:rsidR="00425C12" w:rsidRDefault="00425C12" w:rsidP="00425C12">
      <w:pPr>
        <w:autoSpaceDE w:val="0"/>
        <w:autoSpaceDN w:val="0"/>
        <w:adjustRightInd w:val="0"/>
        <w:spacing w:after="0"/>
        <w:ind w:firstLine="72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3F3F67">
        <w:rPr>
          <w:rFonts w:ascii="Times New Roman" w:hAnsi="Times New Roman" w:cs="Times New Roman"/>
          <w:b/>
          <w:sz w:val="24"/>
          <w:szCs w:val="24"/>
        </w:rPr>
        <w:t xml:space="preserve"> 5 </w:t>
      </w:r>
      <w:r w:rsidRPr="00425C12">
        <w:rPr>
          <w:rFonts w:ascii="Times New Roman" w:hAnsi="Times New Roman" w:cs="Times New Roman"/>
          <w:b/>
          <w:sz w:val="24"/>
          <w:szCs w:val="24"/>
        </w:rPr>
        <w:t xml:space="preserve">Syndrome hépatorénal </w:t>
      </w:r>
    </w:p>
    <w:p w14:paraId="327F3E1A" w14:textId="77777777" w:rsidR="002B4116" w:rsidRDefault="002B4116" w:rsidP="002B411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S. Silbernagl et F. Lang ; Atlas couleur de pathophysiologie)</w:t>
      </w:r>
    </w:p>
    <w:p w14:paraId="567E340D" w14:textId="77777777" w:rsidR="00375E0E" w:rsidRDefault="00375E0E" w:rsidP="002B4116">
      <w:pPr>
        <w:autoSpaceDE w:val="0"/>
        <w:autoSpaceDN w:val="0"/>
        <w:adjustRightInd w:val="0"/>
        <w:spacing w:after="0" w:line="240" w:lineRule="auto"/>
        <w:jc w:val="center"/>
        <w:rPr>
          <w:rFonts w:ascii="Times New Roman" w:eastAsia="Sabon-Roman" w:hAnsi="Times New Roman" w:cs="Times New Roman"/>
          <w:bCs/>
          <w:sz w:val="24"/>
          <w:szCs w:val="24"/>
        </w:rPr>
      </w:pPr>
    </w:p>
    <w:p w14:paraId="429FB0F0" w14:textId="77777777" w:rsidR="00375E0E" w:rsidRPr="005D0642" w:rsidRDefault="00375E0E" w:rsidP="00375E0E">
      <w:pPr>
        <w:autoSpaceDE w:val="0"/>
        <w:autoSpaceDN w:val="0"/>
        <w:adjustRightInd w:val="0"/>
        <w:spacing w:after="0"/>
        <w:ind w:firstLine="720"/>
        <w:jc w:val="both"/>
        <w:rPr>
          <w:rFonts w:ascii="Times New Roman" w:hAnsi="Times New Roman" w:cs="Times New Roman"/>
          <w:sz w:val="24"/>
          <w:szCs w:val="24"/>
        </w:rPr>
      </w:pPr>
      <w:r w:rsidRPr="005D0642">
        <w:rPr>
          <w:rFonts w:ascii="Times New Roman" w:hAnsi="Times New Roman" w:cs="Times New Roman"/>
          <w:i/>
          <w:iCs/>
          <w:sz w:val="24"/>
          <w:szCs w:val="24"/>
        </w:rPr>
        <w:t xml:space="preserve">Le syndrome hépato-pulmonaire </w:t>
      </w:r>
      <w:r w:rsidRPr="005D0642">
        <w:rPr>
          <w:rFonts w:ascii="Times New Roman" w:hAnsi="Times New Roman" w:cs="Times New Roman"/>
          <w:sz w:val="24"/>
          <w:szCs w:val="24"/>
        </w:rPr>
        <w:t>touche jusqu'à 30 % des patients atteints de cirrhose du foie et d'hypertension portale. Ces patients développent des dilatations vasculaires intrapulmonaires impliquant des vaisseaux capillaires et précapillaires pouvant atteindre 100 μM. Le sang circule rapidement dans ces vaisseaux</w:t>
      </w:r>
      <w:r>
        <w:rPr>
          <w:rFonts w:ascii="Times New Roman" w:hAnsi="Times New Roman" w:cs="Times New Roman"/>
          <w:sz w:val="24"/>
          <w:szCs w:val="24"/>
        </w:rPr>
        <w:t xml:space="preserve"> dilatés</w:t>
      </w:r>
      <w:r w:rsidRPr="005D0642">
        <w:rPr>
          <w:rFonts w:ascii="Times New Roman" w:hAnsi="Times New Roman" w:cs="Times New Roman"/>
          <w:sz w:val="24"/>
          <w:szCs w:val="24"/>
        </w:rPr>
        <w:t>, ce qui ne laisse pas suffisamment de temps pour la diffusion de l'oxygène et entraîne un déséquilibre ventilation-perfusion et un shunt droite-gauche, se manifestant par une hypoxie. L'hypoxie et la dyspnée qui en résulte surviennent préférentiellement en position debout plutôt qu'en position couchée, car la gravité exacerbe le déséquilibre ventilation-perfusion.</w:t>
      </w:r>
      <w:r>
        <w:rPr>
          <w:rFonts w:ascii="Times New Roman" w:hAnsi="Times New Roman" w:cs="Times New Roman"/>
          <w:sz w:val="24"/>
          <w:szCs w:val="24"/>
        </w:rPr>
        <w:t xml:space="preserve"> </w:t>
      </w:r>
      <w:r w:rsidRPr="005D0642">
        <w:rPr>
          <w:rFonts w:ascii="Times New Roman" w:hAnsi="Times New Roman" w:cs="Times New Roman"/>
          <w:sz w:val="24"/>
          <w:szCs w:val="24"/>
        </w:rPr>
        <w:t>Les patients atteints de ce syndrome ont un pronostic moins favorable que les patients qui n'en sont pas atteints. La pathogenèse du syndrome hépatopulmonaire n'est pas claire, mais il a été émis l'hypothèse que le foie malade pourrait ne pas éliminer les vasoconstricteurs tels que l'endothéline-1 ou pourrait produire certains vasodilatateurs tels que le NO.</w:t>
      </w:r>
    </w:p>
    <w:p w14:paraId="0353B557" w14:textId="77777777" w:rsidR="00392592" w:rsidRDefault="00392592" w:rsidP="001E205B">
      <w:pPr>
        <w:autoSpaceDE w:val="0"/>
        <w:autoSpaceDN w:val="0"/>
        <w:adjustRightInd w:val="0"/>
        <w:spacing w:after="0"/>
        <w:ind w:firstLine="720"/>
        <w:jc w:val="both"/>
        <w:rPr>
          <w:rFonts w:ascii="Times New Roman" w:hAnsi="Times New Roman" w:cs="Times New Roman"/>
          <w:sz w:val="24"/>
          <w:szCs w:val="24"/>
        </w:rPr>
      </w:pPr>
    </w:p>
    <w:p w14:paraId="3D608F64" w14:textId="77777777" w:rsidR="00392592" w:rsidRDefault="00392592" w:rsidP="001E205B">
      <w:pPr>
        <w:autoSpaceDE w:val="0"/>
        <w:autoSpaceDN w:val="0"/>
        <w:adjustRightInd w:val="0"/>
        <w:spacing w:after="0"/>
        <w:ind w:firstLine="720"/>
        <w:jc w:val="both"/>
        <w:rPr>
          <w:rFonts w:ascii="Times New Roman" w:hAnsi="Times New Roman" w:cs="Times New Roman"/>
          <w:sz w:val="24"/>
          <w:szCs w:val="24"/>
        </w:rPr>
      </w:pPr>
    </w:p>
    <w:p w14:paraId="3C69BF6E" w14:textId="77777777" w:rsidR="001E205B" w:rsidRDefault="001E205B" w:rsidP="001E205B">
      <w:pPr>
        <w:autoSpaceDE w:val="0"/>
        <w:autoSpaceDN w:val="0"/>
        <w:adjustRightInd w:val="0"/>
        <w:spacing w:after="0"/>
        <w:ind w:firstLine="720"/>
        <w:jc w:val="both"/>
        <w:rPr>
          <w:rFonts w:ascii="Times New Roman" w:hAnsi="Times New Roman" w:cs="Times New Roman"/>
          <w:b/>
          <w:sz w:val="24"/>
          <w:szCs w:val="24"/>
        </w:rPr>
      </w:pPr>
      <w:r w:rsidRPr="001E205B">
        <w:rPr>
          <w:rFonts w:ascii="Times New Roman" w:hAnsi="Times New Roman" w:cs="Times New Roman"/>
          <w:b/>
          <w:sz w:val="24"/>
          <w:szCs w:val="24"/>
        </w:rPr>
        <w:t>Cirrhose</w:t>
      </w:r>
      <w:r w:rsidR="006A0374">
        <w:rPr>
          <w:rFonts w:ascii="Times New Roman" w:hAnsi="Times New Roman" w:cs="Times New Roman"/>
          <w:b/>
          <w:sz w:val="24"/>
          <w:szCs w:val="24"/>
        </w:rPr>
        <w:t xml:space="preserve"> hépatique</w:t>
      </w:r>
    </w:p>
    <w:p w14:paraId="3FE1B01C" w14:textId="77777777" w:rsidR="00DC7749" w:rsidRDefault="00DC7749" w:rsidP="00E1611F">
      <w:pPr>
        <w:autoSpaceDE w:val="0"/>
        <w:autoSpaceDN w:val="0"/>
        <w:adjustRightInd w:val="0"/>
        <w:spacing w:after="0"/>
        <w:ind w:firstLine="720"/>
        <w:jc w:val="both"/>
        <w:rPr>
          <w:rFonts w:ascii="Times New Roman" w:hAnsi="Times New Roman" w:cs="Times New Roman"/>
          <w:sz w:val="24"/>
          <w:szCs w:val="24"/>
        </w:rPr>
      </w:pPr>
      <w:r w:rsidRPr="00DC7749">
        <w:rPr>
          <w:rFonts w:ascii="Times New Roman" w:hAnsi="Times New Roman" w:cs="Times New Roman"/>
          <w:i/>
          <w:sz w:val="24"/>
          <w:szCs w:val="24"/>
        </w:rPr>
        <w:t xml:space="preserve">La cirrhose </w:t>
      </w:r>
      <w:r w:rsidRPr="001E205B">
        <w:rPr>
          <w:rFonts w:ascii="Times New Roman" w:hAnsi="Times New Roman" w:cs="Times New Roman"/>
          <w:sz w:val="24"/>
          <w:szCs w:val="24"/>
        </w:rPr>
        <w:t xml:space="preserve">représente le stade terminal d'une maladie hépatique chronique dans laquelle une grande partie du tissu hépatique fonctionnel a été remplacée par du tissu fibreux. Elle se caractérise par une fibrose diffuse et la transformation de l'architecture hépatique normale en nodules structurellement anormaux. </w:t>
      </w:r>
      <w:r>
        <w:rPr>
          <w:rFonts w:ascii="Times New Roman" w:hAnsi="Times New Roman" w:cs="Times New Roman"/>
          <w:sz w:val="24"/>
          <w:szCs w:val="24"/>
        </w:rPr>
        <w:t xml:space="preserve">Il </w:t>
      </w:r>
      <w:r w:rsidR="006A0374" w:rsidRPr="006A0374">
        <w:rPr>
          <w:rFonts w:ascii="Times New Roman" w:hAnsi="Times New Roman" w:cs="Times New Roman"/>
          <w:sz w:val="24"/>
          <w:szCs w:val="24"/>
        </w:rPr>
        <w:t>s'agit d'une maladie dans laquelle la nécrose, l'inflammation, la fibrose, la régénération nodulaire et la formation d'anastomoses vasculaires se développent plus ou moins simultanément.</w:t>
      </w:r>
      <w:r w:rsidR="00E1611F" w:rsidRPr="00E1611F">
        <w:rPr>
          <w:rFonts w:ascii="Times New Roman" w:hAnsi="Times New Roman" w:cs="Times New Roman"/>
          <w:sz w:val="24"/>
          <w:szCs w:val="24"/>
        </w:rPr>
        <w:t xml:space="preserve"> </w:t>
      </w:r>
      <w:r w:rsidR="00E1611F" w:rsidRPr="001E205B">
        <w:rPr>
          <w:rFonts w:ascii="Times New Roman" w:hAnsi="Times New Roman" w:cs="Times New Roman"/>
          <w:sz w:val="24"/>
          <w:szCs w:val="24"/>
        </w:rPr>
        <w:t xml:space="preserve">Le tissu fibreux remplace le tissu hépatique fonctionnant normalement et forme des bandes constrictives qui perturbent la circulation dans les canaux vasculaires et les voies biliaires du foie. La perturbation des canaux vasculaires prédispose à l'hypertension portale et à ses complications, à l'obstruction des voies biliaires et à l'exposition aux effets destructeurs de la stase biliaire, ainsi qu'à la perte de cellules hépatiques, entraînant une insuffisance hépatique. </w:t>
      </w:r>
    </w:p>
    <w:p w14:paraId="502DF125" w14:textId="77777777" w:rsidR="00DC7749" w:rsidRDefault="006A0374" w:rsidP="00457BBC">
      <w:pPr>
        <w:autoSpaceDE w:val="0"/>
        <w:autoSpaceDN w:val="0"/>
        <w:adjustRightInd w:val="0"/>
        <w:spacing w:after="0"/>
        <w:ind w:firstLine="720"/>
        <w:jc w:val="both"/>
        <w:rPr>
          <w:rFonts w:ascii="Times New Roman" w:hAnsi="Times New Roman" w:cs="Times New Roman"/>
          <w:sz w:val="24"/>
          <w:szCs w:val="24"/>
        </w:rPr>
      </w:pPr>
      <w:r w:rsidRPr="006A0374">
        <w:rPr>
          <w:rFonts w:ascii="Times New Roman" w:hAnsi="Times New Roman" w:cs="Times New Roman"/>
          <w:sz w:val="24"/>
          <w:szCs w:val="24"/>
        </w:rPr>
        <w:t xml:space="preserve"> Elle est généralement causée par l'action à long terme de facteurs nocifs, en particulier l'abus d'alcool, qui en est la cause dans 50 % des cas dans le monde. Si la probabilité de développer une cirrhose après une consommation cumulée de 13 kg d'éthanol/kg de poids corporel n'est que d'environ 20 %, elle passe à plus de 90 % après 40 kg. La substance la plus responsable du développement de la fibrose, et donc de la cirrhose, est l'acétaldéhyde, un métabolite de l'éthanol. La cirrhose peut également être le stade final d'une hépatite virale (20 à 40 % des cas de cirrhose en Europe). Dans les cas aigus fulminants, elle peut se développer en </w:t>
      </w:r>
      <w:r>
        <w:rPr>
          <w:rFonts w:ascii="Times New Roman" w:hAnsi="Times New Roman" w:cs="Times New Roman"/>
          <w:sz w:val="24"/>
          <w:szCs w:val="24"/>
        </w:rPr>
        <w:t xml:space="preserve">quelques </w:t>
      </w:r>
      <w:r w:rsidRPr="006A0374">
        <w:rPr>
          <w:rFonts w:ascii="Times New Roman" w:hAnsi="Times New Roman" w:cs="Times New Roman"/>
          <w:sz w:val="24"/>
          <w:szCs w:val="24"/>
        </w:rPr>
        <w:t>semaines ; dans les cas chroniques récurrents, après des mois ou des années. Elle peut également survenir après une obstruction de la circulation sanguine (congestion hépatique) ou après d'autres lésions hépatiques, par exemple au stade terminal d'une maladie de stockage (hémochromatose, maladie de Wilson) ou d'un déficit enzymatique d'origine génétique.</w:t>
      </w:r>
    </w:p>
    <w:p w14:paraId="0D890384" w14:textId="77777777" w:rsidR="00855283" w:rsidRPr="00855283" w:rsidRDefault="00855283" w:rsidP="001E205B">
      <w:pPr>
        <w:autoSpaceDE w:val="0"/>
        <w:autoSpaceDN w:val="0"/>
        <w:adjustRightInd w:val="0"/>
        <w:spacing w:after="0"/>
        <w:ind w:firstLine="720"/>
        <w:jc w:val="both"/>
        <w:rPr>
          <w:rFonts w:ascii="Times New Roman" w:hAnsi="Times New Roman" w:cs="Times New Roman"/>
          <w:i/>
          <w:sz w:val="24"/>
          <w:szCs w:val="24"/>
        </w:rPr>
      </w:pPr>
      <w:r w:rsidRPr="00855283">
        <w:rPr>
          <w:rFonts w:ascii="Times New Roman" w:hAnsi="Times New Roman" w:cs="Times New Roman"/>
          <w:i/>
          <w:sz w:val="24"/>
          <w:szCs w:val="24"/>
        </w:rPr>
        <w:t xml:space="preserve">Pathogenèse </w:t>
      </w:r>
    </w:p>
    <w:p w14:paraId="5C58A815" w14:textId="77777777" w:rsidR="00C4133C" w:rsidRPr="007F3A0A" w:rsidRDefault="00855283"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La fibrose hépatique se développe en plusieurs étapes. Lorsque les hépatocytes endommagés meurent, des enzymes lysosomales, entre autres, s'échappent et libèrent des cytokines de la matrice extracellulaire. Ces cytokines et les débris des cellules mortes activent les </w:t>
      </w:r>
      <w:r>
        <w:rPr>
          <w:rFonts w:ascii="Times New Roman" w:hAnsi="Times New Roman" w:cs="Times New Roman"/>
          <w:sz w:val="24"/>
          <w:szCs w:val="24"/>
        </w:rPr>
        <w:t xml:space="preserve">cellules de Kupffer dans les sinusoïdes hépatiques </w:t>
      </w:r>
      <w:r w:rsidRPr="00855283">
        <w:rPr>
          <w:rFonts w:ascii="Times New Roman" w:hAnsi="Times New Roman" w:cs="Times New Roman"/>
          <w:sz w:val="24"/>
          <w:szCs w:val="24"/>
        </w:rPr>
        <w:t xml:space="preserve">et attirent les cellules inflammatoires (granulocytes, lymphocytes et monocytes) </w:t>
      </w:r>
      <w:r w:rsidR="007A5A6E">
        <w:rPr>
          <w:rFonts w:ascii="Times New Roman" w:hAnsi="Times New Roman" w:cs="Times New Roman"/>
          <w:sz w:val="24"/>
          <w:szCs w:val="24"/>
        </w:rPr>
        <w:t>(Fig.</w:t>
      </w:r>
      <w:r w:rsidR="00262D1D">
        <w:rPr>
          <w:rFonts w:ascii="Times New Roman" w:hAnsi="Times New Roman" w:cs="Times New Roman"/>
          <w:sz w:val="24"/>
          <w:szCs w:val="24"/>
        </w:rPr>
        <w:t xml:space="preserve"> 6</w:t>
      </w:r>
      <w:r w:rsidR="007A5A6E">
        <w:rPr>
          <w:rFonts w:ascii="Times New Roman" w:hAnsi="Times New Roman" w:cs="Times New Roman"/>
          <w:sz w:val="24"/>
          <w:szCs w:val="24"/>
        </w:rPr>
        <w:t>)</w:t>
      </w:r>
      <w:r w:rsidRPr="00855283">
        <w:rPr>
          <w:rFonts w:ascii="Times New Roman" w:hAnsi="Times New Roman" w:cs="Times New Roman"/>
          <w:sz w:val="24"/>
          <w:szCs w:val="24"/>
        </w:rPr>
        <w:t xml:space="preserve">. </w:t>
      </w:r>
      <w:r w:rsidR="00C4133C" w:rsidRPr="00C4133C">
        <w:rPr>
          <w:rFonts w:ascii="Times New Roman" w:hAnsi="Times New Roman" w:cs="Times New Roman"/>
          <w:sz w:val="24"/>
          <w:szCs w:val="24"/>
        </w:rPr>
        <w:t xml:space="preserve">Divers facteurs de croissance et cytokines sont alors libérés par les cellules de Kupffer et les cellules inflammatoires recrutées. </w:t>
      </w:r>
      <w:r w:rsidR="00C4133C" w:rsidRPr="007F3A0A">
        <w:rPr>
          <w:rFonts w:ascii="Times New Roman" w:hAnsi="Times New Roman" w:cs="Times New Roman"/>
          <w:sz w:val="24"/>
          <w:szCs w:val="24"/>
        </w:rPr>
        <w:t xml:space="preserve">Ces </w:t>
      </w:r>
      <w:r w:rsidR="00C4133C" w:rsidRPr="007F3A0A">
        <w:rPr>
          <w:rFonts w:ascii="Times New Roman" w:hAnsi="Times New Roman" w:cs="Times New Roman"/>
          <w:iCs/>
          <w:sz w:val="24"/>
          <w:szCs w:val="24"/>
        </w:rPr>
        <w:t xml:space="preserve">facteurs de croissance </w:t>
      </w:r>
      <w:r w:rsidR="00C4133C" w:rsidRPr="007F3A0A">
        <w:rPr>
          <w:rFonts w:ascii="Times New Roman" w:hAnsi="Times New Roman" w:cs="Times New Roman"/>
          <w:sz w:val="24"/>
          <w:szCs w:val="24"/>
        </w:rPr>
        <w:t xml:space="preserve">et </w:t>
      </w:r>
      <w:r w:rsidR="00C4133C" w:rsidRPr="007F3A0A">
        <w:rPr>
          <w:rFonts w:ascii="Times New Roman" w:hAnsi="Times New Roman" w:cs="Times New Roman"/>
          <w:iCs/>
          <w:sz w:val="24"/>
          <w:szCs w:val="24"/>
        </w:rPr>
        <w:t xml:space="preserve">cytokines </w:t>
      </w:r>
      <w:r w:rsidR="00C4133C" w:rsidRPr="007F3A0A">
        <w:rPr>
          <w:rFonts w:ascii="Times New Roman" w:hAnsi="Times New Roman" w:cs="Times New Roman"/>
          <w:sz w:val="24"/>
          <w:szCs w:val="24"/>
        </w:rPr>
        <w:t>:</w:t>
      </w:r>
    </w:p>
    <w:p w14:paraId="50351242" w14:textId="77777777" w:rsidR="00C4133C" w:rsidRPr="00C4133C" w:rsidRDefault="00C4133C" w:rsidP="007F3A0A">
      <w:pPr>
        <w:autoSpaceDE w:val="0"/>
        <w:autoSpaceDN w:val="0"/>
        <w:adjustRightInd w:val="0"/>
        <w:spacing w:after="0"/>
        <w:rPr>
          <w:rFonts w:ascii="Times New Roman" w:hAnsi="Times New Roman" w:cs="Times New Roman"/>
          <w:sz w:val="24"/>
          <w:szCs w:val="24"/>
        </w:rPr>
      </w:pPr>
      <w:r w:rsidRPr="00C4133C">
        <w:rPr>
          <w:rFonts w:ascii="Times New Roman" w:hAnsi="Times New Roman" w:cs="Times New Roman"/>
          <w:sz w:val="24"/>
          <w:szCs w:val="24"/>
        </w:rPr>
        <w:t xml:space="preserve">           –   transforment les cellules d'Ito du foie, qui stockent les graisses, en </w:t>
      </w:r>
      <w:r w:rsidRPr="00C4133C">
        <w:rPr>
          <w:rFonts w:ascii="Times New Roman" w:hAnsi="Times New Roman" w:cs="Times New Roman"/>
          <w:bCs/>
          <w:sz w:val="24"/>
          <w:szCs w:val="24"/>
        </w:rPr>
        <w:t xml:space="preserve">myofibroblastes </w:t>
      </w:r>
      <w:r w:rsidR="007F3A0A">
        <w:rPr>
          <w:rFonts w:ascii="Times New Roman" w:hAnsi="Times New Roman" w:cs="Times New Roman"/>
          <w:bCs/>
          <w:sz w:val="24"/>
          <w:szCs w:val="24"/>
        </w:rPr>
        <w:t>;</w:t>
      </w:r>
    </w:p>
    <w:p w14:paraId="1F0A45A5" w14:textId="77777777" w:rsidR="00C4133C" w:rsidRPr="00C4133C" w:rsidRDefault="00C4133C" w:rsidP="001216B7">
      <w:pPr>
        <w:tabs>
          <w:tab w:val="left" w:pos="6210"/>
        </w:tabs>
        <w:autoSpaceDE w:val="0"/>
        <w:autoSpaceDN w:val="0"/>
        <w:adjustRightInd w:val="0"/>
        <w:spacing w:after="0"/>
        <w:rPr>
          <w:rFonts w:ascii="Times New Roman" w:hAnsi="Times New Roman" w:cs="Times New Roman"/>
          <w:sz w:val="24"/>
          <w:szCs w:val="24"/>
        </w:rPr>
      </w:pPr>
      <w:r w:rsidRPr="00C4133C">
        <w:rPr>
          <w:rFonts w:ascii="Times New Roman" w:hAnsi="Times New Roman" w:cs="Times New Roman"/>
          <w:sz w:val="24"/>
          <w:szCs w:val="24"/>
        </w:rPr>
        <w:t xml:space="preserve">           –   transforment les monocytes </w:t>
      </w:r>
      <w:r w:rsidR="007F3A0A" w:rsidRPr="00C4133C">
        <w:rPr>
          <w:rFonts w:ascii="Times New Roman" w:hAnsi="Times New Roman" w:cs="Times New Roman"/>
          <w:sz w:val="24"/>
          <w:szCs w:val="24"/>
        </w:rPr>
        <w:t xml:space="preserve">immigrés </w:t>
      </w:r>
      <w:r w:rsidRPr="00C4133C">
        <w:rPr>
          <w:rFonts w:ascii="Times New Roman" w:hAnsi="Times New Roman" w:cs="Times New Roman"/>
          <w:sz w:val="24"/>
          <w:szCs w:val="24"/>
        </w:rPr>
        <w:t xml:space="preserve">en </w:t>
      </w:r>
      <w:r w:rsidRPr="00C4133C">
        <w:rPr>
          <w:rFonts w:ascii="Times New Roman" w:hAnsi="Times New Roman" w:cs="Times New Roman"/>
          <w:bCs/>
          <w:sz w:val="24"/>
          <w:szCs w:val="24"/>
        </w:rPr>
        <w:t>macrophages</w:t>
      </w:r>
      <w:r w:rsidRPr="00C4133C">
        <w:rPr>
          <w:rFonts w:ascii="Times New Roman" w:hAnsi="Times New Roman" w:cs="Times New Roman"/>
          <w:sz w:val="24"/>
          <w:szCs w:val="24"/>
        </w:rPr>
        <w:t xml:space="preserve"> actifs </w:t>
      </w:r>
      <w:r w:rsidR="007F3A0A">
        <w:rPr>
          <w:rFonts w:ascii="Times New Roman" w:hAnsi="Times New Roman" w:cs="Times New Roman"/>
          <w:bCs/>
          <w:sz w:val="24"/>
          <w:szCs w:val="24"/>
        </w:rPr>
        <w:t>;</w:t>
      </w:r>
    </w:p>
    <w:p w14:paraId="681E9259" w14:textId="77777777" w:rsidR="00C4133C" w:rsidRPr="00C4133C" w:rsidRDefault="00C4133C" w:rsidP="007F3A0A">
      <w:pPr>
        <w:pStyle w:val="Listparagraf"/>
        <w:numPr>
          <w:ilvl w:val="0"/>
          <w:numId w:val="4"/>
        </w:numPr>
        <w:autoSpaceDE w:val="0"/>
        <w:autoSpaceDN w:val="0"/>
        <w:adjustRightInd w:val="0"/>
        <w:spacing w:after="0"/>
        <w:jc w:val="both"/>
        <w:rPr>
          <w:rFonts w:ascii="Times New Roman" w:hAnsi="Times New Roman" w:cs="Times New Roman"/>
          <w:bCs/>
          <w:sz w:val="24"/>
          <w:szCs w:val="24"/>
        </w:rPr>
      </w:pPr>
      <w:r w:rsidRPr="00C4133C">
        <w:rPr>
          <w:rFonts w:ascii="Times New Roman" w:hAnsi="Times New Roman" w:cs="Times New Roman"/>
          <w:sz w:val="24"/>
          <w:szCs w:val="24"/>
        </w:rPr>
        <w:t xml:space="preserve">déclenchent la </w:t>
      </w:r>
      <w:r w:rsidRPr="00C4133C">
        <w:rPr>
          <w:rFonts w:ascii="Times New Roman" w:hAnsi="Times New Roman" w:cs="Times New Roman"/>
          <w:bCs/>
          <w:sz w:val="24"/>
          <w:szCs w:val="24"/>
        </w:rPr>
        <w:t xml:space="preserve">prolifération des fibroblastes </w:t>
      </w:r>
      <w:r w:rsidR="007F3A0A">
        <w:rPr>
          <w:rFonts w:ascii="Times New Roman" w:hAnsi="Times New Roman" w:cs="Times New Roman"/>
          <w:bCs/>
          <w:sz w:val="24"/>
          <w:szCs w:val="24"/>
        </w:rPr>
        <w:t>;</w:t>
      </w:r>
    </w:p>
    <w:p w14:paraId="77E13E24" w14:textId="77777777" w:rsidR="007F3A0A" w:rsidRDefault="00C4133C" w:rsidP="00262D1D">
      <w:pPr>
        <w:jc w:val="both"/>
        <w:rPr>
          <w:rFonts w:ascii="Times New Roman" w:hAnsi="Times New Roman" w:cs="Times New Roman"/>
          <w:sz w:val="24"/>
          <w:szCs w:val="24"/>
        </w:rPr>
      </w:pPr>
      <w:r w:rsidRPr="00C4133C">
        <w:rPr>
          <w:rFonts w:ascii="Times New Roman" w:hAnsi="Times New Roman" w:cs="Times New Roman"/>
          <w:bCs/>
          <w:sz w:val="24"/>
          <w:szCs w:val="24"/>
        </w:rPr>
        <w:t xml:space="preserve"> </w:t>
      </w:r>
      <w:r w:rsidRPr="00C4133C">
        <w:rPr>
          <w:rFonts w:ascii="Times New Roman" w:hAnsi="Times New Roman" w:cs="Times New Roman"/>
          <w:bCs/>
          <w:sz w:val="24"/>
          <w:szCs w:val="24"/>
        </w:rPr>
        <w:tab/>
      </w:r>
      <w:r w:rsidR="00855283" w:rsidRPr="00C4133C">
        <w:rPr>
          <w:rFonts w:ascii="Times New Roman" w:hAnsi="Times New Roman" w:cs="Times New Roman"/>
          <w:sz w:val="24"/>
          <w:szCs w:val="24"/>
        </w:rPr>
        <w:t xml:space="preserve">Le principal type de cellule impliqué dans le dépôt de cicatrices est la </w:t>
      </w:r>
      <w:r w:rsidR="00855283" w:rsidRPr="00855283">
        <w:rPr>
          <w:rFonts w:ascii="Times New Roman" w:hAnsi="Times New Roman" w:cs="Times New Roman"/>
          <w:sz w:val="24"/>
          <w:szCs w:val="24"/>
        </w:rPr>
        <w:t xml:space="preserve">cellule stellaire </w:t>
      </w:r>
      <w:r w:rsidR="00855283" w:rsidRPr="00C4133C">
        <w:rPr>
          <w:rFonts w:ascii="Times New Roman" w:hAnsi="Times New Roman" w:cs="Times New Roman"/>
          <w:sz w:val="24"/>
          <w:szCs w:val="24"/>
        </w:rPr>
        <w:t xml:space="preserve">hépatique </w:t>
      </w:r>
      <w:r>
        <w:rPr>
          <w:rFonts w:ascii="Times New Roman" w:hAnsi="Times New Roman" w:cs="Times New Roman"/>
          <w:sz w:val="24"/>
          <w:szCs w:val="24"/>
        </w:rPr>
        <w:t>(cellule d'Ito)</w:t>
      </w:r>
      <w:r w:rsidR="00855283" w:rsidRPr="00855283">
        <w:rPr>
          <w:rFonts w:ascii="Times New Roman" w:hAnsi="Times New Roman" w:cs="Times New Roman"/>
          <w:sz w:val="24"/>
          <w:szCs w:val="24"/>
        </w:rPr>
        <w:t xml:space="preserve">. </w:t>
      </w:r>
      <w:r w:rsidR="00262D1D" w:rsidRPr="003376CE">
        <w:rPr>
          <w:rFonts w:ascii="Times New Roman" w:hAnsi="Times New Roman" w:cs="Times New Roman"/>
          <w:sz w:val="24"/>
          <w:szCs w:val="24"/>
        </w:rPr>
        <w:t>Bien qu'elles fonctionnent normalement comme des cellules stockant la vitamine A, elles s'activent au cours du développement de la cirrhose, un processus qui comprend (1) une activité mitotique robuste dans les zones développant une nouvelle fibrose parenchymateuse, (2) un passage du phénotype lipocytaire à l'état de repos à un phénotype myofibroblastique transitoire, et (3) une capacité accrue de synthèse et de sécrétion de la matrice extracellulaire.</w:t>
      </w:r>
      <w:r w:rsidR="00262D1D">
        <w:rPr>
          <w:rFonts w:ascii="Times New Roman" w:hAnsi="Times New Roman" w:cs="Times New Roman"/>
          <w:sz w:val="24"/>
          <w:szCs w:val="24"/>
        </w:rPr>
        <w:t xml:space="preserve"> </w:t>
      </w:r>
      <w:r w:rsidR="00262D1D" w:rsidRPr="003376CE">
        <w:rPr>
          <w:rFonts w:ascii="Times New Roman" w:hAnsi="Times New Roman" w:cs="Times New Roman"/>
          <w:sz w:val="24"/>
          <w:szCs w:val="24"/>
        </w:rPr>
        <w:t xml:space="preserve">L'activation la plus importante des cellules stellaires se produit dans les zones de nécrose hépatocellulaire et d'inflammation sévères. </w:t>
      </w:r>
      <w:r w:rsidR="007F3A0A" w:rsidRPr="00855283">
        <w:rPr>
          <w:rFonts w:ascii="Times New Roman" w:hAnsi="Times New Roman" w:cs="Times New Roman"/>
          <w:sz w:val="24"/>
          <w:szCs w:val="24"/>
        </w:rPr>
        <w:t xml:space="preserve">Les stimuli à l'origine de l'activation des cellules stellaires peuvent provenir de plusieurs sources : </w:t>
      </w:r>
    </w:p>
    <w:p w14:paraId="1719D4CE" w14:textId="77777777"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(1) une inflammation chronique, avec production de cytokines inflammatoires telles que le facteur de nécrose tumorale (TNF), la lymphotoxine et l'interleukine-1β (IL-1β), et de produits de peroxydation lipidique ; </w:t>
      </w:r>
    </w:p>
    <w:p w14:paraId="5505A1B3" w14:textId="77777777"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(2) la production de cytokines et de chimiokines par les cellules de Kupffer, les cellules endothéliales, les hépatocytes et les cellules épithéliales des voies biliaires ; </w:t>
      </w:r>
    </w:p>
    <w:p w14:paraId="54193913" w14:textId="77777777"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(3) en réponse à la perturbation de la </w:t>
      </w:r>
      <w:r>
        <w:rPr>
          <w:rFonts w:ascii="Times New Roman" w:hAnsi="Times New Roman" w:cs="Times New Roman"/>
          <w:sz w:val="24"/>
          <w:szCs w:val="24"/>
        </w:rPr>
        <w:t xml:space="preserve">matrice extracellulaire (MEC) ; </w:t>
      </w:r>
    </w:p>
    <w:p w14:paraId="66AF8111" w14:textId="77777777"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(4) stimulation directe des cellules stellaires par des toxines.</w:t>
      </w:r>
    </w:p>
    <w:p w14:paraId="75F749FB" w14:textId="77777777" w:rsidR="00855283" w:rsidRDefault="00855283" w:rsidP="00E32899">
      <w:pPr>
        <w:jc w:val="both"/>
        <w:rPr>
          <w:rFonts w:ascii="Times New Roman" w:hAnsi="Times New Roman" w:cs="Times New Roman"/>
          <w:sz w:val="24"/>
          <w:szCs w:val="24"/>
        </w:rPr>
      </w:pPr>
      <w:r w:rsidRPr="00855283">
        <w:rPr>
          <w:rFonts w:ascii="Times New Roman" w:hAnsi="Times New Roman" w:cs="Times New Roman"/>
          <w:sz w:val="24"/>
          <w:szCs w:val="24"/>
        </w:rPr>
        <w:t xml:space="preserve"> </w:t>
      </w:r>
      <w:r w:rsidR="007F3A0A">
        <w:rPr>
          <w:rFonts w:ascii="Times New Roman" w:hAnsi="Times New Roman" w:cs="Times New Roman"/>
          <w:sz w:val="24"/>
          <w:szCs w:val="24"/>
        </w:rPr>
        <w:tab/>
      </w:r>
      <w:r w:rsidR="008D20FF" w:rsidRPr="003376CE">
        <w:rPr>
          <w:rFonts w:ascii="Times New Roman" w:hAnsi="Times New Roman" w:cs="Times New Roman"/>
          <w:sz w:val="24"/>
          <w:szCs w:val="24"/>
        </w:rPr>
        <w:t>Ces cytokines « activent » les cellules stellaires, qui perdent alors leurs gouttelettes lipidiques (présentes à l'état quiescent) et acquièrent un état myofibroblastique. La prolifération des cellules stellaires est stimulée en particulier par le facteur de croissance dérivé des plaquettes (PDGF) ; le facteur de nécrose tumorale (TNF) est un puissant stimulant du passage à un phénotype myofibroblastique. La contraction des cellules stellaires activées est stimulée par l'endothéline-1 (ET-1). Le dépôt de matrice extracellulaire (</w:t>
      </w:r>
      <w:r w:rsidR="008D20FF" w:rsidRPr="001216B7">
        <w:rPr>
          <w:rFonts w:ascii="Times New Roman" w:hAnsi="Times New Roman" w:cs="Times New Roman"/>
          <w:i/>
          <w:sz w:val="24"/>
          <w:szCs w:val="24"/>
        </w:rPr>
        <w:t xml:space="preserve">fibrogénèse) </w:t>
      </w:r>
      <w:r w:rsidR="008D20FF" w:rsidRPr="003376CE">
        <w:rPr>
          <w:rFonts w:ascii="Times New Roman" w:hAnsi="Times New Roman" w:cs="Times New Roman"/>
          <w:sz w:val="24"/>
          <w:szCs w:val="24"/>
        </w:rPr>
        <w:t>est stimulé en particulier par le facteur de croissance transformant b (TGF-b). La chimiotaxie des cellules stellaires activées vers les zones lésées, telles que celles où les hépatocytes ont subi une apoptose, est favorisée par le PDGF et la protéine chimiotactique des monocytes-1 (MCP-1). Les cellules de Kupffer sont également une source importante de TNF libéré dans la circulation sanguine</w:t>
      </w:r>
      <w:r w:rsidR="001216B7">
        <w:rPr>
          <w:rFonts w:ascii="Times New Roman" w:hAnsi="Times New Roman" w:cs="Times New Roman"/>
          <w:sz w:val="24"/>
          <w:szCs w:val="24"/>
        </w:rPr>
        <w:t xml:space="preserve">. </w:t>
      </w:r>
      <w:r w:rsidRPr="00855283">
        <w:rPr>
          <w:rFonts w:ascii="Times New Roman" w:hAnsi="Times New Roman" w:cs="Times New Roman"/>
          <w:sz w:val="24"/>
          <w:szCs w:val="24"/>
        </w:rPr>
        <w:t>D'autres cellules contribuent probablement de manière significative au dépôt de cicatrices dans différents contextes, notamment les fibroblastes portaux. Les réactions canaliculaires jouent également un rôle, à la fois par l'activation et le recrutement de toutes ces cellules fibrogéniques, mais aussi, peut-être, par la transition épithélio-mésenchymateuse. Les rôles relatifs joués par ces autres cellules et processus sont moins bien compris.</w:t>
      </w:r>
    </w:p>
    <w:p w14:paraId="2ADE1619" w14:textId="77777777" w:rsidR="00E32899" w:rsidRPr="00E32899" w:rsidRDefault="007A693A" w:rsidP="00E32899">
      <w:pPr>
        <w:ind w:firstLine="720"/>
        <w:jc w:val="both"/>
        <w:rPr>
          <w:rFonts w:ascii="Times New Roman" w:hAnsi="Times New Roman" w:cs="Times New Roman"/>
          <w:sz w:val="24"/>
          <w:szCs w:val="24"/>
        </w:rPr>
      </w:pPr>
      <w:r w:rsidRPr="007A693A">
        <w:rPr>
          <w:rFonts w:ascii="Times New Roman" w:hAnsi="Times New Roman" w:cs="Times New Roman"/>
          <w:sz w:val="24"/>
          <w:szCs w:val="24"/>
        </w:rPr>
        <w:t xml:space="preserve">À la suite de ces nombreuses interactions, la production de la matrice extracellulaire est augmentée par </w:t>
      </w:r>
      <w:r w:rsidR="0050436A">
        <w:rPr>
          <w:rFonts w:ascii="Times New Roman" w:hAnsi="Times New Roman" w:cs="Times New Roman"/>
          <w:sz w:val="24"/>
          <w:szCs w:val="24"/>
        </w:rPr>
        <w:t xml:space="preserve">les myofibroblastes et les fibroblastes, </w:t>
      </w:r>
      <w:r w:rsidRPr="007A693A">
        <w:rPr>
          <w:rFonts w:ascii="Times New Roman" w:hAnsi="Times New Roman" w:cs="Times New Roman"/>
          <w:sz w:val="24"/>
          <w:szCs w:val="24"/>
        </w:rPr>
        <w:t>ce qui entraîne une augmentation du dépôt de collagènes (types I, III et IV), de protéoglycanes (décorine, biglycane, lumican, aggrécane) et de glycoprotéines (fibronectine, laminine, ténascine, onduline) dans l'espace de Dissé.</w:t>
      </w:r>
      <w:r w:rsidR="008D20FF" w:rsidRPr="008D20FF">
        <w:rPr>
          <w:rFonts w:ascii="Times New Roman" w:hAnsi="Times New Roman" w:cs="Times New Roman"/>
          <w:sz w:val="24"/>
          <w:szCs w:val="24"/>
        </w:rPr>
        <w:t xml:space="preserve"> </w:t>
      </w:r>
      <w:r w:rsidR="00E32899" w:rsidRPr="003376CE">
        <w:rPr>
          <w:rFonts w:ascii="Times New Roman" w:hAnsi="Times New Roman" w:cs="Times New Roman"/>
          <w:sz w:val="24"/>
          <w:szCs w:val="24"/>
        </w:rPr>
        <w:t xml:space="preserve">Dans le foie normal, les collagènes interstitiels (types I et III) sont concentrés dans les voies portales et autour des veines centrales, avec des faisceaux occasionnels dans l'espace de Disse. Le collagène (réticuline) qui circule le long des hépatocytes est composé de brins délicats de collagène de type IV dans l'espace de Disse. Dans la cirrhose, les collagènes de types I et III se déposent dans le lobule, créant des voies septales délicates ou larges. </w:t>
      </w:r>
      <w:r w:rsidR="001216B7">
        <w:rPr>
          <w:rFonts w:ascii="Times New Roman" w:hAnsi="Times New Roman" w:cs="Times New Roman"/>
          <w:sz w:val="24"/>
          <w:szCs w:val="24"/>
        </w:rPr>
        <w:t xml:space="preserve">De nouveaux canaux vasculaires dans les </w:t>
      </w:r>
      <w:r w:rsidR="00E32899" w:rsidRPr="003376CE">
        <w:rPr>
          <w:rFonts w:ascii="Times New Roman" w:hAnsi="Times New Roman" w:cs="Times New Roman"/>
          <w:sz w:val="24"/>
          <w:szCs w:val="24"/>
        </w:rPr>
        <w:t xml:space="preserve">septa relient les structures vasculaires de la région portale (artères hépatiques et veines portales) et les veines hépatiques terminales, dérivant le sang autour du parenchyme. Le dépôt continu de collagène dans l'espace de Disse au sein du parenchyme préservé s'accompagne d'une perte des fenestrations dans les cellules endothéliales sinusoïdales. Au cours de ce processus, l'espace sinusoïdal finit par ressembler davantage à un capillaire qu'à un canal d'échange de solutés entre les hépatocytes et le plasma. En particulier, la sécrétion hépatocellulaire de protéines (par exemple, l'albumine, les facteurs de coagulation, les lipoprotéines) est fortement </w:t>
      </w:r>
      <w:r w:rsidR="00E32899">
        <w:rPr>
          <w:rFonts w:ascii="Times New Roman" w:hAnsi="Times New Roman" w:cs="Times New Roman"/>
          <w:sz w:val="24"/>
          <w:szCs w:val="24"/>
        </w:rPr>
        <w:t>altérée.</w:t>
      </w:r>
      <w:r w:rsidR="001216B7">
        <w:rPr>
          <w:rFonts w:ascii="Times New Roman" w:hAnsi="Times New Roman" w:cs="Times New Roman"/>
          <w:sz w:val="24"/>
          <w:szCs w:val="24"/>
        </w:rPr>
        <w:t xml:space="preserve"> </w:t>
      </w:r>
      <w:r w:rsidR="008D20FF" w:rsidRPr="008D20FF">
        <w:rPr>
          <w:rFonts w:ascii="Times New Roman" w:hAnsi="Times New Roman" w:cs="Times New Roman"/>
          <w:sz w:val="24"/>
          <w:szCs w:val="24"/>
        </w:rPr>
        <w:t xml:space="preserve">Il en résulte un foie fibrotique et nodulaire dans lequel l'apport sanguin aux hépatocytes est gravement compromis, tout comme la capacité des hépatocytes à sécréter des substances dans le plasma. La perturbation de l'interface entre le parenchyme et les voies portales détruit également les canaux biliaires. </w:t>
      </w:r>
      <w:r w:rsidR="008D20FF" w:rsidRPr="003376CE">
        <w:rPr>
          <w:rFonts w:ascii="Times New Roman" w:hAnsi="Times New Roman" w:cs="Times New Roman"/>
          <w:sz w:val="24"/>
          <w:szCs w:val="24"/>
        </w:rPr>
        <w:t xml:space="preserve">L'acquisition de fibres musculaires par les cellules stellaires périsinusoïdales augmente également la résistance vasculaire dans le parenchyme hépatique, car la contraction tonique de ces « myofibroblastes » rétrécit les canaux vasculaires sinusoïdaux. </w:t>
      </w:r>
      <w:r w:rsidR="00E32899" w:rsidRPr="003376CE">
        <w:rPr>
          <w:rFonts w:ascii="Times New Roman" w:hAnsi="Times New Roman" w:cs="Times New Roman"/>
          <w:sz w:val="24"/>
          <w:szCs w:val="24"/>
        </w:rPr>
        <w:t xml:space="preserve">Tout au long du processus de lésion hépatique et de fibrose, les hépatocytes restants sont stimulés pour se régénérer et proliférer sous forme de nodules sphériques dans les limites des septa fibreux. </w:t>
      </w:r>
    </w:p>
    <w:p w14:paraId="250296EC" w14:textId="77777777" w:rsidR="008D20FF" w:rsidRPr="008D20FF" w:rsidRDefault="008D20FF" w:rsidP="008D20FF">
      <w:pPr>
        <w:jc w:val="both"/>
        <w:rPr>
          <w:rFonts w:ascii="Times New Roman" w:hAnsi="Times New Roman" w:cs="Times New Roman"/>
          <w:sz w:val="24"/>
          <w:szCs w:val="24"/>
        </w:rPr>
      </w:pPr>
    </w:p>
    <w:p w14:paraId="6F64AD67" w14:textId="77777777" w:rsidR="003542B5" w:rsidRDefault="003542B5" w:rsidP="003542B5">
      <w:pPr>
        <w:autoSpaceDE w:val="0"/>
        <w:autoSpaceDN w:val="0"/>
        <w:adjustRightInd w:val="0"/>
        <w:spacing w:after="0"/>
        <w:ind w:firstLine="720"/>
        <w:jc w:val="center"/>
        <w:rPr>
          <w:rFonts w:ascii="Times New Roman" w:hAnsi="Times New Roman" w:cs="Times New Roman"/>
          <w:sz w:val="24"/>
          <w:szCs w:val="24"/>
        </w:rPr>
      </w:pPr>
      <w:r w:rsidRPr="003542B5">
        <w:rPr>
          <w:rFonts w:ascii="Times New Roman" w:hAnsi="Times New Roman" w:cs="Times New Roman"/>
          <w:noProof/>
          <w:sz w:val="24"/>
          <w:szCs w:val="24"/>
          <w:lang w:val="en-GB" w:eastAsia="en-GB"/>
        </w:rPr>
        <w:drawing>
          <wp:inline distT="0" distB="0" distL="0" distR="0" wp14:anchorId="096E5F24" wp14:editId="6A44A538">
            <wp:extent cx="5596407" cy="6813192"/>
            <wp:effectExtent l="19050" t="19050" r="23343" b="25758"/>
            <wp:docPr id="11" name="Рисунок 2" descr="C:\Users\Iuliana\Desktop\liver 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liver fibros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152" cy="6809230"/>
                    </a:xfrm>
                    <a:prstGeom prst="rect">
                      <a:avLst/>
                    </a:prstGeom>
                    <a:noFill/>
                    <a:ln>
                      <a:solidFill>
                        <a:schemeClr val="tx1"/>
                      </a:solidFill>
                    </a:ln>
                  </pic:spPr>
                </pic:pic>
              </a:graphicData>
            </a:graphic>
          </wp:inline>
        </w:drawing>
      </w:r>
    </w:p>
    <w:p w14:paraId="045D482D" w14:textId="77777777" w:rsidR="003542B5" w:rsidRDefault="003542B5" w:rsidP="003542B5">
      <w:pPr>
        <w:autoSpaceDE w:val="0"/>
        <w:autoSpaceDN w:val="0"/>
        <w:adjustRightInd w:val="0"/>
        <w:spacing w:after="0"/>
        <w:ind w:firstLine="720"/>
        <w:jc w:val="center"/>
        <w:rPr>
          <w:rFonts w:ascii="Times New Roman" w:hAnsi="Times New Roman" w:cs="Times New Roman"/>
          <w:b/>
          <w:sz w:val="24"/>
          <w:szCs w:val="24"/>
        </w:rPr>
      </w:pPr>
      <w:r w:rsidRPr="003542B5">
        <w:rPr>
          <w:rFonts w:ascii="Times New Roman" w:hAnsi="Times New Roman" w:cs="Times New Roman"/>
          <w:b/>
          <w:sz w:val="24"/>
          <w:szCs w:val="24"/>
        </w:rPr>
        <w:t>Fig. 6. Pathogenèse de la cirrhose hépatique</w:t>
      </w:r>
    </w:p>
    <w:p w14:paraId="09A68E4A" w14:textId="77777777" w:rsidR="002321FB" w:rsidRDefault="002321FB" w:rsidP="002321FB">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S. Silbernagl et F. Lang ; Atlas couleur de pathophysiologie)</w:t>
      </w:r>
    </w:p>
    <w:p w14:paraId="55AD593D" w14:textId="77777777" w:rsidR="002321FB" w:rsidRPr="003542B5" w:rsidRDefault="002321FB" w:rsidP="003542B5">
      <w:pPr>
        <w:autoSpaceDE w:val="0"/>
        <w:autoSpaceDN w:val="0"/>
        <w:adjustRightInd w:val="0"/>
        <w:spacing w:after="0"/>
        <w:ind w:firstLine="720"/>
        <w:jc w:val="center"/>
        <w:rPr>
          <w:rFonts w:ascii="Times New Roman" w:hAnsi="Times New Roman" w:cs="Times New Roman"/>
          <w:b/>
          <w:sz w:val="24"/>
          <w:szCs w:val="24"/>
        </w:rPr>
      </w:pPr>
    </w:p>
    <w:p w14:paraId="76456760" w14:textId="77777777" w:rsidR="003542B5" w:rsidRDefault="003542B5" w:rsidP="00855283">
      <w:pPr>
        <w:autoSpaceDE w:val="0"/>
        <w:autoSpaceDN w:val="0"/>
        <w:adjustRightInd w:val="0"/>
        <w:spacing w:after="0"/>
        <w:ind w:firstLine="720"/>
        <w:jc w:val="both"/>
        <w:rPr>
          <w:rFonts w:ascii="Times New Roman" w:hAnsi="Times New Roman" w:cs="Times New Roman"/>
          <w:sz w:val="24"/>
          <w:szCs w:val="24"/>
        </w:rPr>
      </w:pPr>
    </w:p>
    <w:p w14:paraId="5F9BD57E" w14:textId="77777777" w:rsidR="007A693A" w:rsidRDefault="007A693A" w:rsidP="00855283">
      <w:pPr>
        <w:autoSpaceDE w:val="0"/>
        <w:autoSpaceDN w:val="0"/>
        <w:adjustRightInd w:val="0"/>
        <w:spacing w:after="0"/>
        <w:ind w:firstLine="720"/>
        <w:jc w:val="both"/>
        <w:rPr>
          <w:rFonts w:ascii="Times New Roman" w:hAnsi="Times New Roman" w:cs="Times New Roman"/>
          <w:sz w:val="24"/>
          <w:szCs w:val="24"/>
        </w:rPr>
      </w:pPr>
    </w:p>
    <w:p w14:paraId="785A3A48" w14:textId="77777777" w:rsidR="007A693A" w:rsidRDefault="007A693A" w:rsidP="006763CC">
      <w:pPr>
        <w:autoSpaceDE w:val="0"/>
        <w:autoSpaceDN w:val="0"/>
        <w:adjustRightInd w:val="0"/>
        <w:spacing w:after="0"/>
        <w:ind w:firstLine="720"/>
        <w:jc w:val="center"/>
        <w:rPr>
          <w:rFonts w:ascii="Times New Roman" w:hAnsi="Times New Roman" w:cs="Times New Roman"/>
          <w:sz w:val="24"/>
          <w:szCs w:val="24"/>
        </w:rPr>
      </w:pPr>
    </w:p>
    <w:p w14:paraId="387AD17F" w14:textId="77777777" w:rsidR="008D20FF" w:rsidRPr="007A693A" w:rsidRDefault="008D20FF" w:rsidP="008D20FF">
      <w:pPr>
        <w:autoSpaceDE w:val="0"/>
        <w:autoSpaceDN w:val="0"/>
        <w:adjustRightInd w:val="0"/>
        <w:spacing w:after="0"/>
        <w:ind w:firstLine="720"/>
        <w:jc w:val="center"/>
        <w:rPr>
          <w:rFonts w:ascii="Times New Roman" w:hAnsi="Times New Roman" w:cs="Times New Roman"/>
          <w:sz w:val="24"/>
          <w:szCs w:val="24"/>
        </w:rPr>
      </w:pPr>
      <w:r w:rsidRPr="008D20FF">
        <w:rPr>
          <w:rFonts w:ascii="Times New Roman" w:hAnsi="Times New Roman" w:cs="Times New Roman"/>
          <w:noProof/>
          <w:sz w:val="24"/>
          <w:szCs w:val="24"/>
          <w:lang w:val="en-GB" w:eastAsia="en-GB"/>
        </w:rPr>
        <w:drawing>
          <wp:inline distT="0" distB="0" distL="0" distR="0" wp14:anchorId="66833793" wp14:editId="52F7E143">
            <wp:extent cx="4694618" cy="2221606"/>
            <wp:effectExtent l="19050" t="19050" r="10732" b="26294"/>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4878" cy="2221729"/>
                    </a:xfrm>
                    <a:prstGeom prst="rect">
                      <a:avLst/>
                    </a:prstGeom>
                    <a:noFill/>
                    <a:ln>
                      <a:solidFill>
                        <a:schemeClr val="tx1"/>
                      </a:solidFill>
                    </a:ln>
                  </pic:spPr>
                </pic:pic>
              </a:graphicData>
            </a:graphic>
          </wp:inline>
        </w:drawing>
      </w:r>
    </w:p>
    <w:p w14:paraId="5AC3B9FF" w14:textId="77777777" w:rsidR="007A693A" w:rsidRPr="00425C12" w:rsidRDefault="007A693A" w:rsidP="007A693A">
      <w:pPr>
        <w:autoSpaceDE w:val="0"/>
        <w:autoSpaceDN w:val="0"/>
        <w:adjustRightInd w:val="0"/>
        <w:spacing w:after="0"/>
        <w:ind w:firstLine="72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3542B5">
        <w:rPr>
          <w:rFonts w:ascii="Times New Roman" w:hAnsi="Times New Roman" w:cs="Times New Roman"/>
          <w:b/>
          <w:sz w:val="24"/>
          <w:szCs w:val="24"/>
        </w:rPr>
        <w:t xml:space="preserve"> 7 Rôle de </w:t>
      </w:r>
      <w:r w:rsidRPr="00425C12">
        <w:rPr>
          <w:rFonts w:ascii="Times New Roman" w:hAnsi="Times New Roman" w:cs="Times New Roman"/>
          <w:b/>
          <w:sz w:val="24"/>
          <w:szCs w:val="24"/>
        </w:rPr>
        <w:t>l'activation des cellules stellaires et de la fibrose hépatique</w:t>
      </w:r>
    </w:p>
    <w:p w14:paraId="21C342B5" w14:textId="77777777" w:rsidR="002321FB" w:rsidRPr="001216B7" w:rsidRDefault="007A693A" w:rsidP="001216B7">
      <w:pPr>
        <w:autoSpaceDE w:val="0"/>
        <w:autoSpaceDN w:val="0"/>
        <w:adjustRightInd w:val="0"/>
        <w:spacing w:after="0" w:line="240" w:lineRule="auto"/>
        <w:jc w:val="both"/>
        <w:rPr>
          <w:rFonts w:ascii="Times New Roman" w:eastAsia="Sabon-Roman" w:hAnsi="Times New Roman" w:cs="Times New Roman"/>
          <w:bCs/>
          <w:sz w:val="24"/>
          <w:szCs w:val="24"/>
        </w:rPr>
      </w:pPr>
      <w:r w:rsidRPr="007A693A">
        <w:rPr>
          <w:rFonts w:ascii="Times New Roman" w:hAnsi="Times New Roman" w:cs="Times New Roman"/>
          <w:sz w:val="20"/>
          <w:szCs w:val="20"/>
        </w:rPr>
        <w:t xml:space="preserve">L'activation des cellules de Kupffer entraîne la sécrétion de plusieurs cytokines. Le facteur de croissance dérivé des plaquettes (PDGF) et le facteur de nécrose tumorale (TNF) activent les cellules stellaires, et la contraction des cellules stellaires activées est stimulée par l'endothéline-1 (ET-1). La fibrose est stimulée par le facteur de croissance transformant β (TGF-β). La chimiotaxie des cellules stellaires activées vers les zones lésées est favorisée par le PDGF et la protéine chimiotactique des monocytes-1 (MCP-1). </w:t>
      </w:r>
      <w:r w:rsidR="002321FB" w:rsidRPr="002321FB">
        <w:rPr>
          <w:rFonts w:ascii="Times New Roman" w:eastAsia="Sabon-Roman" w:hAnsi="Times New Roman" w:cs="Times New Roman"/>
          <w:bCs/>
          <w:sz w:val="20"/>
          <w:szCs w:val="20"/>
        </w:rPr>
        <w:t>(D'après Robbins-Cotran ; Pathological basis of disease)</w:t>
      </w:r>
      <w:r w:rsidR="001216B7">
        <w:rPr>
          <w:rFonts w:ascii="Times New Roman" w:eastAsia="Sabon-Roman" w:hAnsi="Times New Roman" w:cs="Times New Roman"/>
          <w:bCs/>
          <w:sz w:val="20"/>
          <w:szCs w:val="20"/>
        </w:rPr>
        <w:t>.</w:t>
      </w:r>
    </w:p>
    <w:p w14:paraId="5AE2CFC7" w14:textId="77777777" w:rsidR="007A693A" w:rsidRPr="002321FB" w:rsidRDefault="007A693A" w:rsidP="007A693A">
      <w:pPr>
        <w:autoSpaceDE w:val="0"/>
        <w:autoSpaceDN w:val="0"/>
        <w:adjustRightInd w:val="0"/>
        <w:spacing w:after="0"/>
        <w:ind w:firstLine="720"/>
        <w:jc w:val="both"/>
        <w:rPr>
          <w:rFonts w:ascii="Times New Roman" w:hAnsi="Times New Roman" w:cs="Times New Roman"/>
          <w:sz w:val="20"/>
          <w:szCs w:val="20"/>
        </w:rPr>
      </w:pPr>
    </w:p>
    <w:p w14:paraId="4A49DDB5" w14:textId="77777777" w:rsidR="007A693A" w:rsidRPr="00855283" w:rsidRDefault="007A693A" w:rsidP="007A693A">
      <w:pPr>
        <w:autoSpaceDE w:val="0"/>
        <w:autoSpaceDN w:val="0"/>
        <w:adjustRightInd w:val="0"/>
        <w:spacing w:after="0"/>
        <w:jc w:val="both"/>
        <w:rPr>
          <w:rFonts w:ascii="Times New Roman" w:hAnsi="Times New Roman" w:cs="Times New Roman"/>
          <w:sz w:val="24"/>
          <w:szCs w:val="24"/>
        </w:rPr>
      </w:pPr>
    </w:p>
    <w:p w14:paraId="0ECB4F7C" w14:textId="77777777" w:rsidR="00B32F1B" w:rsidRPr="00B32F1B" w:rsidRDefault="00855283" w:rsidP="00B32F1B">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Si la lésion chronique conduisant à </w:t>
      </w:r>
      <w:r w:rsidR="007A5A6E">
        <w:rPr>
          <w:rFonts w:ascii="Times New Roman" w:hAnsi="Times New Roman" w:cs="Times New Roman"/>
          <w:sz w:val="24"/>
          <w:szCs w:val="24"/>
        </w:rPr>
        <w:t xml:space="preserve">la formation </w:t>
      </w:r>
      <w:r w:rsidRPr="00855283">
        <w:rPr>
          <w:rFonts w:ascii="Times New Roman" w:hAnsi="Times New Roman" w:cs="Times New Roman"/>
          <w:sz w:val="24"/>
          <w:szCs w:val="24"/>
        </w:rPr>
        <w:t xml:space="preserve">de cicatrices </w:t>
      </w:r>
      <w:r w:rsidR="007A5A6E">
        <w:rPr>
          <w:rFonts w:ascii="Times New Roman" w:hAnsi="Times New Roman" w:cs="Times New Roman"/>
          <w:sz w:val="24"/>
          <w:szCs w:val="24"/>
        </w:rPr>
        <w:t>est interrompue (</w:t>
      </w:r>
      <w:r w:rsidRPr="00855283">
        <w:rPr>
          <w:rFonts w:ascii="Times New Roman" w:hAnsi="Times New Roman" w:cs="Times New Roman"/>
          <w:sz w:val="24"/>
          <w:szCs w:val="24"/>
        </w:rPr>
        <w:t xml:space="preserve">élimination de l'infection par le virus de l'hépatite, arrêt de la consommation d'alcool), l'activation des cellules stellaires cesse, les cicatrices se condensent, deviennent plus denses et plus fines, puis, sous l'effet des métalloprotéinases produites par les hépatocytes, commencent à se désagréger. De cette manière, la formation de cicatrices peut être inversée. </w:t>
      </w:r>
      <w:r w:rsidR="00B32F1B" w:rsidRPr="00B32F1B">
        <w:rPr>
          <w:rFonts w:ascii="Times New Roman" w:hAnsi="Times New Roman" w:cs="Times New Roman"/>
          <w:sz w:val="24"/>
          <w:szCs w:val="24"/>
        </w:rPr>
        <w:t xml:space="preserve">Si les nécroses sont limitées au centre </w:t>
      </w:r>
      <w:r w:rsidR="00B32F1B">
        <w:rPr>
          <w:rFonts w:ascii="Times New Roman" w:hAnsi="Times New Roman" w:cs="Times New Roman"/>
          <w:sz w:val="24"/>
          <w:szCs w:val="24"/>
        </w:rPr>
        <w:t>des lobules hépatiques</w:t>
      </w:r>
      <w:r w:rsidR="00B32F1B" w:rsidRPr="00B32F1B">
        <w:rPr>
          <w:rFonts w:ascii="Times New Roman" w:hAnsi="Times New Roman" w:cs="Times New Roman"/>
          <w:sz w:val="24"/>
          <w:szCs w:val="24"/>
        </w:rPr>
        <w:t xml:space="preserve">, une restauration complète de la structure du foie est possible. Cependant, si les nécroses ont traversé le parenchyme périphérique des lobules hépatiques, </w:t>
      </w:r>
      <w:r w:rsidR="00B32F1B">
        <w:rPr>
          <w:rFonts w:ascii="Times New Roman" w:hAnsi="Times New Roman" w:cs="Times New Roman"/>
          <w:sz w:val="24"/>
          <w:szCs w:val="24"/>
        </w:rPr>
        <w:t>des septa de tissu conjonctif se forment</w:t>
      </w:r>
      <w:r w:rsidR="00B32F1B" w:rsidRPr="00B32F1B">
        <w:rPr>
          <w:rFonts w:ascii="Times New Roman" w:hAnsi="Times New Roman" w:cs="Times New Roman"/>
          <w:sz w:val="24"/>
          <w:szCs w:val="24"/>
        </w:rPr>
        <w:t xml:space="preserve">. En conséquence, une régénération fonctionnelle complète n'est plus possible et des nodules se </w:t>
      </w:r>
      <w:r w:rsidR="00B32F1B">
        <w:rPr>
          <w:rFonts w:ascii="Times New Roman" w:hAnsi="Times New Roman" w:cs="Times New Roman"/>
          <w:sz w:val="24"/>
          <w:szCs w:val="24"/>
        </w:rPr>
        <w:t>forment</w:t>
      </w:r>
      <w:r w:rsidR="00B32F1B" w:rsidRPr="00B32F1B">
        <w:rPr>
          <w:rFonts w:ascii="Times New Roman" w:hAnsi="Times New Roman" w:cs="Times New Roman"/>
          <w:sz w:val="24"/>
          <w:szCs w:val="24"/>
        </w:rPr>
        <w:t xml:space="preserve">. </w:t>
      </w:r>
    </w:p>
    <w:p w14:paraId="28B4FCA6" w14:textId="77777777" w:rsidR="00784E4C" w:rsidRDefault="001E205B" w:rsidP="007A5A6E">
      <w:pPr>
        <w:autoSpaceDE w:val="0"/>
        <w:autoSpaceDN w:val="0"/>
        <w:adjustRightInd w:val="0"/>
        <w:spacing w:after="0"/>
        <w:ind w:firstLine="720"/>
        <w:jc w:val="both"/>
        <w:rPr>
          <w:rFonts w:ascii="Times New Roman" w:hAnsi="Times New Roman" w:cs="Times New Roman"/>
          <w:sz w:val="24"/>
          <w:szCs w:val="24"/>
        </w:rPr>
      </w:pPr>
      <w:r w:rsidRPr="001E205B">
        <w:rPr>
          <w:rFonts w:ascii="Times New Roman" w:hAnsi="Times New Roman" w:cs="Times New Roman"/>
          <w:sz w:val="24"/>
          <w:szCs w:val="24"/>
        </w:rPr>
        <w:t xml:space="preserve">Les manifestations de la cirrhose sont variables, allant d'une hépatomégalie asymptomatique à une insuffisance hépatique. Souvent, il n'y a aucun symptôme jusqu'à ce que la maladie soit à un stade avancé. Les manifestations tardives de la cirrhose sont liées à l'hypertension portale et à l'insuffisance des cellules hépatiques. La splénomégalie, l'ascite et les shunts porto-systémiques (c'est-à-dire les varices œsophagiennes, les varices ano-rectales et les caput medusae) résultent de l'hypertension portale. </w:t>
      </w:r>
    </w:p>
    <w:p w14:paraId="424D3369" w14:textId="77777777" w:rsidR="00051B5F" w:rsidRPr="007A5A6E" w:rsidRDefault="00051B5F" w:rsidP="007A5A6E">
      <w:pPr>
        <w:autoSpaceDE w:val="0"/>
        <w:autoSpaceDN w:val="0"/>
        <w:adjustRightInd w:val="0"/>
        <w:spacing w:after="0"/>
        <w:ind w:firstLine="720"/>
        <w:jc w:val="both"/>
        <w:rPr>
          <w:rFonts w:ascii="Times New Roman" w:hAnsi="Times New Roman" w:cs="Times New Roman"/>
          <w:sz w:val="24"/>
          <w:szCs w:val="24"/>
        </w:rPr>
      </w:pPr>
    </w:p>
    <w:p w14:paraId="26BA2B72" w14:textId="77777777" w:rsidR="007A693A" w:rsidRPr="006763CC" w:rsidRDefault="007A693A" w:rsidP="00F337AB">
      <w:pPr>
        <w:autoSpaceDE w:val="0"/>
        <w:autoSpaceDN w:val="0"/>
        <w:adjustRightInd w:val="0"/>
        <w:spacing w:after="0" w:line="240" w:lineRule="auto"/>
        <w:ind w:firstLine="720"/>
        <w:jc w:val="both"/>
        <w:rPr>
          <w:rFonts w:ascii="Times New Roman" w:hAnsi="Times New Roman" w:cs="Times New Roman"/>
          <w:b/>
          <w:iCs/>
          <w:sz w:val="24"/>
          <w:szCs w:val="24"/>
        </w:rPr>
      </w:pPr>
      <w:r w:rsidRPr="006763CC">
        <w:rPr>
          <w:rFonts w:ascii="Times New Roman" w:hAnsi="Times New Roman" w:cs="Times New Roman"/>
          <w:b/>
          <w:iCs/>
          <w:sz w:val="24"/>
          <w:szCs w:val="24"/>
        </w:rPr>
        <w:t>Hypertension portale</w:t>
      </w:r>
    </w:p>
    <w:p w14:paraId="4F218842" w14:textId="77777777" w:rsidR="007A693A" w:rsidRPr="007A693A" w:rsidRDefault="007A693A" w:rsidP="007A693A">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 xml:space="preserve">Le sang veineux provenant de l'estomac, des intestins, de la rate, du pancréas et de la vésicule biliaire passe par la veine porte vers le foie où, dans les sinusoïdes après s'être mélangé au sang riche en oxygène de l'artère hépatique, il entre en contact étroit avec les hépatocytes. Environ 15 % du débit cardiaque circule dans le foie, mais sa résistance au flux est si faible que la </w:t>
      </w:r>
      <w:r w:rsidR="007A5A6E">
        <w:rPr>
          <w:rFonts w:ascii="Times New Roman" w:hAnsi="Times New Roman" w:cs="Times New Roman"/>
          <w:iCs/>
          <w:sz w:val="24"/>
          <w:szCs w:val="24"/>
        </w:rPr>
        <w:t xml:space="preserve">pression </w:t>
      </w:r>
      <w:r w:rsidRPr="007A693A">
        <w:rPr>
          <w:rFonts w:ascii="Times New Roman" w:hAnsi="Times New Roman" w:cs="Times New Roman"/>
          <w:iCs/>
          <w:sz w:val="24"/>
          <w:szCs w:val="24"/>
        </w:rPr>
        <w:t>normale de la</w:t>
      </w:r>
      <w:r w:rsidR="007A5A6E">
        <w:rPr>
          <w:rFonts w:ascii="Times New Roman" w:hAnsi="Times New Roman" w:cs="Times New Roman"/>
          <w:iCs/>
          <w:sz w:val="24"/>
          <w:szCs w:val="24"/>
        </w:rPr>
        <w:t xml:space="preserve"> veine porte n'est que de 4 à</w:t>
      </w:r>
      <w:r w:rsidRPr="007A693A">
        <w:rPr>
          <w:rFonts w:ascii="Times New Roman" w:hAnsi="Times New Roman" w:cs="Times New Roman"/>
          <w:iCs/>
          <w:sz w:val="24"/>
          <w:szCs w:val="24"/>
        </w:rPr>
        <w:t xml:space="preserve"> 8 mmHg. Si la section transversale du lit vasculaire du foie est réduite, la pression de la veine porte augmente et une hypertension portale se développe.</w:t>
      </w:r>
    </w:p>
    <w:p w14:paraId="54752FA1" w14:textId="77777777" w:rsidR="007A693A" w:rsidRDefault="007A693A" w:rsidP="00425C12">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
          <w:iCs/>
          <w:sz w:val="24"/>
          <w:szCs w:val="24"/>
        </w:rPr>
        <w:t xml:space="preserve">L'hypertension portale </w:t>
      </w:r>
      <w:r w:rsidRPr="007A693A">
        <w:rPr>
          <w:rFonts w:ascii="Times New Roman" w:hAnsi="Times New Roman" w:cs="Times New Roman"/>
          <w:iCs/>
          <w:sz w:val="24"/>
          <w:szCs w:val="24"/>
        </w:rPr>
        <w:t xml:space="preserve">se caractérise par une résistance accrue au flux dans le système veineux porte et </w:t>
      </w:r>
      <w:r>
        <w:rPr>
          <w:rFonts w:ascii="Times New Roman" w:hAnsi="Times New Roman" w:cs="Times New Roman"/>
          <w:iCs/>
          <w:sz w:val="24"/>
          <w:szCs w:val="24"/>
        </w:rPr>
        <w:t>une pression</w:t>
      </w:r>
      <w:r w:rsidRPr="007A693A">
        <w:rPr>
          <w:rFonts w:ascii="Times New Roman" w:hAnsi="Times New Roman" w:cs="Times New Roman"/>
          <w:iCs/>
          <w:sz w:val="24"/>
          <w:szCs w:val="24"/>
        </w:rPr>
        <w:t xml:space="preserve"> veineuse porte soutenue </w:t>
      </w:r>
      <w:r>
        <w:rPr>
          <w:rFonts w:ascii="Times New Roman" w:hAnsi="Times New Roman" w:cs="Times New Roman"/>
          <w:iCs/>
          <w:sz w:val="24"/>
          <w:szCs w:val="24"/>
        </w:rPr>
        <w:t>supérieure à 12 mm Hg</w:t>
      </w:r>
      <w:r w:rsidRPr="007A693A">
        <w:rPr>
          <w:rFonts w:ascii="Times New Roman" w:hAnsi="Times New Roman" w:cs="Times New Roman"/>
          <w:iCs/>
          <w:sz w:val="24"/>
          <w:szCs w:val="24"/>
        </w:rPr>
        <w:t xml:space="preserve">. </w:t>
      </w:r>
    </w:p>
    <w:p w14:paraId="2EB123A8" w14:textId="77777777" w:rsidR="00F337AB" w:rsidRDefault="007A693A" w:rsidP="00F337AB">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 xml:space="preserve">L'hypertension portale peut être causée par diverses affections qui augmentent la résistance au flux sanguin hépatique, notamment des obstructions préhépatiques, posthépatiques et intrahépatiques (le terme « hépatique » faisant référence aux lobules hépatiques plutôt qu'à l'ensemble du foie) </w:t>
      </w:r>
      <w:r w:rsidR="007A5A6E">
        <w:rPr>
          <w:rFonts w:ascii="Times New Roman" w:hAnsi="Times New Roman" w:cs="Times New Roman"/>
          <w:iCs/>
          <w:sz w:val="24"/>
          <w:szCs w:val="24"/>
        </w:rPr>
        <w:t>(Fig.</w:t>
      </w:r>
      <w:r w:rsidR="00E32899">
        <w:rPr>
          <w:rFonts w:ascii="Times New Roman" w:hAnsi="Times New Roman" w:cs="Times New Roman"/>
          <w:iCs/>
          <w:sz w:val="24"/>
          <w:szCs w:val="24"/>
        </w:rPr>
        <w:t xml:space="preserve"> 8</w:t>
      </w:r>
      <w:r w:rsidR="007A5A6E">
        <w:rPr>
          <w:rFonts w:ascii="Times New Roman" w:hAnsi="Times New Roman" w:cs="Times New Roman"/>
          <w:iCs/>
          <w:sz w:val="24"/>
          <w:szCs w:val="24"/>
        </w:rPr>
        <w:t>)</w:t>
      </w:r>
      <w:r w:rsidRPr="007A693A">
        <w:rPr>
          <w:rFonts w:ascii="Times New Roman" w:hAnsi="Times New Roman" w:cs="Times New Roman"/>
          <w:iCs/>
          <w:sz w:val="24"/>
          <w:szCs w:val="24"/>
        </w:rPr>
        <w:t>.</w:t>
      </w:r>
    </w:p>
    <w:p w14:paraId="5CB1BAA6" w14:textId="77777777" w:rsidR="00F337AB" w:rsidRDefault="00F337AB" w:rsidP="00F337AB">
      <w:pPr>
        <w:autoSpaceDE w:val="0"/>
        <w:autoSpaceDN w:val="0"/>
        <w:adjustRightInd w:val="0"/>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7A693A" w:rsidRPr="007A693A">
        <w:rPr>
          <w:rFonts w:ascii="Times New Roman" w:hAnsi="Times New Roman" w:cs="Times New Roman"/>
          <w:i/>
          <w:iCs/>
          <w:sz w:val="24"/>
          <w:szCs w:val="24"/>
        </w:rPr>
        <w:t xml:space="preserve">Les causes préhépatiques </w:t>
      </w:r>
      <w:r w:rsidR="007A693A" w:rsidRPr="007A693A">
        <w:rPr>
          <w:rFonts w:ascii="Times New Roman" w:hAnsi="Times New Roman" w:cs="Times New Roman"/>
          <w:iCs/>
          <w:sz w:val="24"/>
          <w:szCs w:val="24"/>
        </w:rPr>
        <w:t>de l'hypertension portale comprennent la thrombose de la veine porte et la compression externe due à un cancer ou à une hypertrophie des ganglions lymphatiques qui provoquent une obstruction de la veine porte avant son entrée dans le foie.</w:t>
      </w:r>
    </w:p>
    <w:p w14:paraId="29524B3F" w14:textId="77777777" w:rsidR="007A5A6E" w:rsidRDefault="007A5A6E" w:rsidP="007A5A6E">
      <w:pPr>
        <w:autoSpaceDE w:val="0"/>
        <w:autoSpaceDN w:val="0"/>
        <w:adjustRightInd w:val="0"/>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7A693A">
        <w:rPr>
          <w:rFonts w:ascii="Times New Roman" w:hAnsi="Times New Roman" w:cs="Times New Roman"/>
          <w:i/>
          <w:iCs/>
          <w:sz w:val="24"/>
          <w:szCs w:val="24"/>
        </w:rPr>
        <w:t xml:space="preserve">Les causes intrahépatiques de l'hypertension portale </w:t>
      </w:r>
      <w:r w:rsidRPr="007A693A">
        <w:rPr>
          <w:rFonts w:ascii="Times New Roman" w:hAnsi="Times New Roman" w:cs="Times New Roman"/>
          <w:iCs/>
          <w:sz w:val="24"/>
          <w:szCs w:val="24"/>
        </w:rPr>
        <w:t>comprennent les affections qui provoquent une obstruction de la circulation sanguine dans le foie. Dans la cirrhose alcoolique, qui est la principale cause d'hypertension portale, des bandes de tissu fibreux et des nodules fibreux déforment l'architecture du foie et augmentent la résistance à la circulation sanguine portale, ce qui entraîne une hypertension portale.</w:t>
      </w:r>
      <w:r>
        <w:rPr>
          <w:rFonts w:ascii="Times New Roman" w:hAnsi="Times New Roman" w:cs="Times New Roman"/>
          <w:iCs/>
          <w:sz w:val="24"/>
          <w:szCs w:val="24"/>
        </w:rPr>
        <w:t xml:space="preserve"> </w:t>
      </w:r>
      <w:r w:rsidRPr="00F337AB">
        <w:rPr>
          <w:rFonts w:ascii="Times New Roman" w:hAnsi="Times New Roman" w:cs="Times New Roman"/>
          <w:iCs/>
          <w:sz w:val="24"/>
          <w:szCs w:val="24"/>
        </w:rPr>
        <w:t xml:space="preserve">Les causes intrahépatiques beaucoup moins fréquentes sont la schistosomiase, les modifications graisseuses massives, les maladies granulomateuses fibrosantes diffuses telles que la sarcoïdose et les maladies affectant la microcirculation portale telles que l'hyperplasie nodulaire régénérative. </w:t>
      </w:r>
    </w:p>
    <w:p w14:paraId="551D7AAA" w14:textId="77777777" w:rsidR="00F337AB" w:rsidRDefault="007A693A" w:rsidP="00F337AB">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
          <w:iCs/>
          <w:sz w:val="24"/>
          <w:szCs w:val="24"/>
        </w:rPr>
        <w:t xml:space="preserve">L'obstruction post-hépatique </w:t>
      </w:r>
      <w:r w:rsidRPr="007A693A">
        <w:rPr>
          <w:rFonts w:ascii="Times New Roman" w:hAnsi="Times New Roman" w:cs="Times New Roman"/>
          <w:iCs/>
          <w:sz w:val="24"/>
          <w:szCs w:val="24"/>
        </w:rPr>
        <w:t xml:space="preserve">désigne toute obstruction de la circulation sanguine dans les veines hépatiques au-delà des lobules hépatiques, que ce soit à l'intérieur ou à l'extérieur du foie. Elle est causée par des affections telles que la thrombose des veines hépatiques, la maladie veino-occlusive et </w:t>
      </w:r>
      <w:r>
        <w:rPr>
          <w:rFonts w:ascii="Times New Roman" w:hAnsi="Times New Roman" w:cs="Times New Roman"/>
          <w:iCs/>
          <w:sz w:val="24"/>
          <w:szCs w:val="24"/>
        </w:rPr>
        <w:t xml:space="preserve">l'insuffisance cardiaque droite </w:t>
      </w:r>
      <w:r w:rsidRPr="007A693A">
        <w:rPr>
          <w:rFonts w:ascii="Times New Roman" w:hAnsi="Times New Roman" w:cs="Times New Roman"/>
          <w:iCs/>
          <w:sz w:val="24"/>
          <w:szCs w:val="24"/>
        </w:rPr>
        <w:t xml:space="preserve">sévère </w:t>
      </w:r>
      <w:r>
        <w:rPr>
          <w:rFonts w:ascii="Times New Roman" w:hAnsi="Times New Roman" w:cs="Times New Roman"/>
          <w:iCs/>
          <w:sz w:val="24"/>
          <w:szCs w:val="24"/>
        </w:rPr>
        <w:t xml:space="preserve">qui </w:t>
      </w:r>
      <w:r w:rsidRPr="007A693A">
        <w:rPr>
          <w:rFonts w:ascii="Times New Roman" w:hAnsi="Times New Roman" w:cs="Times New Roman"/>
          <w:iCs/>
          <w:sz w:val="24"/>
          <w:szCs w:val="24"/>
        </w:rPr>
        <w:t xml:space="preserve">entravent l'écoulement du sang veineux hors du foie. </w:t>
      </w:r>
      <w:r w:rsidRPr="00F337AB">
        <w:rPr>
          <w:rFonts w:ascii="Times New Roman" w:hAnsi="Times New Roman" w:cs="Times New Roman"/>
          <w:i/>
          <w:iCs/>
          <w:sz w:val="24"/>
          <w:szCs w:val="24"/>
        </w:rPr>
        <w:t xml:space="preserve">Le syndrome de Budd-Chiari </w:t>
      </w:r>
      <w:r w:rsidRPr="007A693A">
        <w:rPr>
          <w:rFonts w:ascii="Times New Roman" w:hAnsi="Times New Roman" w:cs="Times New Roman"/>
          <w:iCs/>
          <w:sz w:val="24"/>
          <w:szCs w:val="24"/>
        </w:rPr>
        <w:t>désigne une maladie congestive du foie causée par l'occlusion des veines portales et de leurs affluents. La cause principale du syndrome de Budd-Chiari est la thrombose des veines hépatiques, associée à diverses affections telles que la polycythémie vraie, les états d'hypercoagulabilité associés à des tumeurs malignes, la grossesse, les infections bactériennes, les métastases hépatiques et les traumatismes.</w:t>
      </w:r>
    </w:p>
    <w:p w14:paraId="66F7B03C" w14:textId="77777777" w:rsidR="005949BC" w:rsidRDefault="00F337AB" w:rsidP="006763CC">
      <w:pPr>
        <w:autoSpaceDE w:val="0"/>
        <w:autoSpaceDN w:val="0"/>
        <w:adjustRightInd w:val="0"/>
        <w:spacing w:after="0"/>
        <w:ind w:firstLine="720"/>
        <w:jc w:val="both"/>
        <w:rPr>
          <w:rFonts w:ascii="Times New Roman" w:hAnsi="Times New Roman" w:cs="Times New Roman"/>
          <w:iCs/>
          <w:sz w:val="24"/>
          <w:szCs w:val="24"/>
        </w:rPr>
      </w:pPr>
      <w:r w:rsidRPr="007A5A6E">
        <w:rPr>
          <w:rFonts w:ascii="Times New Roman" w:hAnsi="Times New Roman" w:cs="Times New Roman"/>
          <w:iCs/>
          <w:sz w:val="24"/>
          <w:szCs w:val="24"/>
        </w:rPr>
        <w:t xml:space="preserve">La physiopathologie de l'hypertension portale </w:t>
      </w:r>
      <w:r w:rsidRPr="00F337AB">
        <w:rPr>
          <w:rFonts w:ascii="Times New Roman" w:hAnsi="Times New Roman" w:cs="Times New Roman"/>
          <w:iCs/>
          <w:sz w:val="24"/>
          <w:szCs w:val="24"/>
        </w:rPr>
        <w:t xml:space="preserve">est complexe et implique une résistance au flux porte au niveau des sinusoïdes et une augmentation du flux porte causée par une circulation hyperdynamique. L'augmentation de la résistance au flux porte au niveau des sinusoïdes est causée par la contraction des cellules musculaires lisses vasculaires et des myofibroblastes, ainsi que par la perturbation du flux sanguin due à la cicatrisation et à la formation de nodules parenchymateux. Les altérations des cellules endothéliales sinusoïdales qui contribuent à la vasoconstriction intrahépatique associée à l'hypertension portale comprennent une diminution de la production d'oxyde nitrique et une augmentation de la libération d'endothéline-1 (ET-1), d'angiotensinogène et d'eicosanoïdes. Le remodelage sinusoïdal et l'anastomose entre le système artériel et le système porte dans les septa fibreux contribuent à l'hypertension portale en imposant des pressions artérielles au système veineux porte à basse pression. Le remodelage sinusoïdal et les shunts intrahépatiques interfèrent également avec les échanges métaboliques entre le sang sinusoïdal et les hépatocytes. </w:t>
      </w:r>
    </w:p>
    <w:p w14:paraId="4730DDE4" w14:textId="77777777" w:rsidR="00F337AB" w:rsidRDefault="00F337AB" w:rsidP="006763CC">
      <w:pPr>
        <w:autoSpaceDE w:val="0"/>
        <w:autoSpaceDN w:val="0"/>
        <w:adjustRightInd w:val="0"/>
        <w:spacing w:after="0"/>
        <w:ind w:firstLine="720"/>
        <w:jc w:val="both"/>
        <w:rPr>
          <w:rFonts w:ascii="Times New Roman" w:hAnsi="Times New Roman" w:cs="Times New Roman"/>
          <w:iCs/>
          <w:sz w:val="24"/>
          <w:szCs w:val="24"/>
        </w:rPr>
      </w:pPr>
      <w:r w:rsidRPr="00F337AB">
        <w:rPr>
          <w:rFonts w:ascii="Times New Roman" w:hAnsi="Times New Roman" w:cs="Times New Roman"/>
          <w:iCs/>
          <w:sz w:val="24"/>
          <w:szCs w:val="24"/>
        </w:rPr>
        <w:t>Un autre facteur majeur dans le développement de l'hypertension portale est l'augmentation du débit sanguin veineux porte résultant d'une circulation hyperdynamique. Celle-ci est causée par une vasodilatation artérielle, principalement dans la circulation splanchnique. L'augmentation du débit sanguin artériel splanchnique entraîne à son tour une augmentation de l'efflux veineux dans le système veineux porte. Si divers médiateurs tels que la prostacycline et le TNF ont été impliqués dans la causalité de la vasodilatation artérielle splanchnique, le NO est apparu comme le plus important.</w:t>
      </w:r>
    </w:p>
    <w:p w14:paraId="38BD437A" w14:textId="77777777" w:rsidR="00CC21A3" w:rsidRPr="00CC21A3" w:rsidRDefault="00CC21A3" w:rsidP="005949B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 xml:space="preserve">Quel que soit le site de l'obstruction, une augmentation de la pression veineuse portale entraîne des troubles dans les organes en amont (malabsorption, splénomégalie avec anémie et thrombocytopénie) ainsi qu'un écoulement sanguin depuis les organes abdominaux via des canaux vasculaires qui contournent le foie. Ces circuits de dérivation portale utilisent des vaisseaux collatéraux qui sont normalement à paroi mince, mais qui sont désormais fortement dilatés (formation de varices ; « hémorroïdes » du plexus veineux rectal ; caput medusae au niveau des veines para-ombilicales). Les veines œsophagiennes dilatées sont particulièrement exposées au risque de rupture. Ce fait, associé notamment </w:t>
      </w:r>
      <w:r>
        <w:rPr>
          <w:rFonts w:ascii="Times New Roman" w:hAnsi="Times New Roman" w:cs="Times New Roman"/>
          <w:iCs/>
          <w:sz w:val="24"/>
          <w:szCs w:val="24"/>
        </w:rPr>
        <w:t xml:space="preserve">à une thrombocytopénie </w:t>
      </w:r>
      <w:r w:rsidRPr="00CC21A3">
        <w:rPr>
          <w:rFonts w:ascii="Times New Roman" w:hAnsi="Times New Roman" w:cs="Times New Roman"/>
          <w:iCs/>
          <w:sz w:val="24"/>
          <w:szCs w:val="24"/>
        </w:rPr>
        <w:t xml:space="preserve">et </w:t>
      </w:r>
      <w:r>
        <w:rPr>
          <w:rFonts w:ascii="Times New Roman" w:hAnsi="Times New Roman" w:cs="Times New Roman"/>
          <w:iCs/>
          <w:sz w:val="24"/>
          <w:szCs w:val="24"/>
        </w:rPr>
        <w:t xml:space="preserve">à </w:t>
      </w:r>
      <w:r w:rsidRPr="00CC21A3">
        <w:rPr>
          <w:rFonts w:ascii="Times New Roman" w:hAnsi="Times New Roman" w:cs="Times New Roman"/>
          <w:iCs/>
          <w:sz w:val="24"/>
          <w:szCs w:val="24"/>
        </w:rPr>
        <w:t>une déficience en facteurs de coagulation (synthèse réduite dans un foie endommagé), peut entraîner des hémorragies massives pouvant mettre la vie en danger. Les vasodilatateurs d' e libérés lors d'une hypertension portale (glucagon, VIP, substance P, prostacyclines, NO, etc.) entraînent également une chute de la pression artérielle systémique. Cela provoque une augmentation compensatoire du débit cardiaque, entraînant une hyperperfusion des organes abdominaux et des circuits collatéraux (bypass).</w:t>
      </w:r>
    </w:p>
    <w:p w14:paraId="4FD27C61" w14:textId="77777777" w:rsidR="00CC21A3" w:rsidRPr="00CC21A3" w:rsidRDefault="00CC21A3" w:rsidP="00CC21A3">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 xml:space="preserve">La fonction hépatique n'est généralement pas altérée en cas d'obstruction préhépatique et présinusoidale, car l'apport sanguin est assuré par une augmentation compensatoire du débit de l'artère hépatique. Cependant, en cas </w:t>
      </w:r>
      <w:r>
        <w:rPr>
          <w:rFonts w:ascii="Times New Roman" w:hAnsi="Times New Roman" w:cs="Times New Roman"/>
          <w:iCs/>
          <w:sz w:val="24"/>
          <w:szCs w:val="24"/>
        </w:rPr>
        <w:t xml:space="preserve">d'obstruction </w:t>
      </w:r>
      <w:r w:rsidRPr="00CC21A3">
        <w:rPr>
          <w:rFonts w:ascii="Times New Roman" w:hAnsi="Times New Roman" w:cs="Times New Roman"/>
          <w:iCs/>
          <w:sz w:val="24"/>
          <w:szCs w:val="24"/>
        </w:rPr>
        <w:t xml:space="preserve">sinusoidale, postsinusoidale et </w:t>
      </w:r>
      <w:r>
        <w:rPr>
          <w:rFonts w:ascii="Times New Roman" w:hAnsi="Times New Roman" w:cs="Times New Roman"/>
          <w:iCs/>
          <w:sz w:val="24"/>
          <w:szCs w:val="24"/>
        </w:rPr>
        <w:t>posthépatique</w:t>
      </w:r>
      <w:r w:rsidRPr="00CC21A3">
        <w:rPr>
          <w:rFonts w:ascii="Times New Roman" w:hAnsi="Times New Roman" w:cs="Times New Roman"/>
          <w:iCs/>
          <w:sz w:val="24"/>
          <w:szCs w:val="24"/>
        </w:rPr>
        <w:t>,</w:t>
      </w:r>
      <w:r>
        <w:rPr>
          <w:rFonts w:ascii="Times New Roman" w:hAnsi="Times New Roman" w:cs="Times New Roman"/>
          <w:iCs/>
          <w:sz w:val="24"/>
          <w:szCs w:val="24"/>
        </w:rPr>
        <w:t xml:space="preserve"> les lésions hépatiques </w:t>
      </w:r>
      <w:r w:rsidRPr="00CC21A3">
        <w:rPr>
          <w:rFonts w:ascii="Times New Roman" w:hAnsi="Times New Roman" w:cs="Times New Roman"/>
          <w:iCs/>
          <w:sz w:val="24"/>
          <w:szCs w:val="24"/>
        </w:rPr>
        <w:t xml:space="preserve">sont généralement la cause, puis en partie aussi la conséquence de l'obstruction. En conséquence, le drainage de la lymphe hépatique riche en protéines est altéré et l'augmentation de la pression portale, parfois en synergie avec une réduction de la pression osmotique du plasma due à des lésions hépatiques (hypoalbuminémie), pousse un liquide riche en protéines dans la cavité abdominale, c'est-à-dire qu'une ascite se développe. Cela provoque </w:t>
      </w:r>
      <w:r w:rsidR="00390C30" w:rsidRPr="00CC21A3">
        <w:rPr>
          <w:rFonts w:ascii="Times New Roman" w:hAnsi="Times New Roman" w:cs="Times New Roman"/>
          <w:iCs/>
          <w:sz w:val="24"/>
          <w:szCs w:val="24"/>
        </w:rPr>
        <w:t>un hyperaldostéronisme</w:t>
      </w:r>
      <w:r w:rsidRPr="00CC21A3">
        <w:rPr>
          <w:rFonts w:ascii="Times New Roman" w:hAnsi="Times New Roman" w:cs="Times New Roman"/>
          <w:iCs/>
          <w:sz w:val="24"/>
          <w:szCs w:val="24"/>
        </w:rPr>
        <w:t xml:space="preserve"> secondaire </w:t>
      </w:r>
      <w:r w:rsidR="00390C30" w:rsidRPr="00CC21A3">
        <w:rPr>
          <w:rFonts w:ascii="Times New Roman" w:hAnsi="Times New Roman" w:cs="Times New Roman"/>
          <w:iCs/>
          <w:sz w:val="24"/>
          <w:szCs w:val="24"/>
        </w:rPr>
        <w:t xml:space="preserve">qui </w:t>
      </w:r>
      <w:r w:rsidRPr="00CC21A3">
        <w:rPr>
          <w:rFonts w:ascii="Times New Roman" w:hAnsi="Times New Roman" w:cs="Times New Roman"/>
          <w:iCs/>
          <w:sz w:val="24"/>
          <w:szCs w:val="24"/>
        </w:rPr>
        <w:t>entraîne une augmentation du volume extracellulaire.</w:t>
      </w:r>
    </w:p>
    <w:p w14:paraId="58FA8601" w14:textId="77777777" w:rsidR="00FB5846" w:rsidRPr="00DB5B97" w:rsidRDefault="00CC21A3" w:rsidP="00DB5B97">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Comme le sang provenant de l'intestin contourne le foie, les substances toxiques (NH</w:t>
      </w:r>
      <w:r w:rsidRPr="00CC21A3">
        <w:rPr>
          <w:rFonts w:ascii="Times New Roman" w:hAnsi="Times New Roman" w:cs="Times New Roman"/>
          <w:iCs/>
          <w:sz w:val="24"/>
          <w:szCs w:val="24"/>
          <w:vertAlign w:val="subscript"/>
        </w:rPr>
        <w:t>3</w:t>
      </w:r>
      <w:r w:rsidRPr="00CC21A3">
        <w:rPr>
          <w:rFonts w:ascii="Times New Roman" w:hAnsi="Times New Roman" w:cs="Times New Roman"/>
          <w:iCs/>
          <w:sz w:val="24"/>
          <w:szCs w:val="24"/>
        </w:rPr>
        <w:t xml:space="preserve"> , amines biogènes, acides gras à chaîne courte, etc.) qui sont normalement extraites du sang porte par les cellules hépatiques atteignent le système nerveux central, entre autres organes, ce qui entraîne le développement d'une encéphalopathie porte-systémique (« hépatique »).</w:t>
      </w:r>
      <w:r w:rsidR="00DB5B97">
        <w:rPr>
          <w:rFonts w:ascii="Times New Roman" w:hAnsi="Times New Roman" w:cs="Times New Roman"/>
          <w:iCs/>
          <w:sz w:val="24"/>
          <w:szCs w:val="24"/>
        </w:rPr>
        <w:t xml:space="preserve"> </w:t>
      </w:r>
      <w:r w:rsidR="00FB5846" w:rsidRPr="00DB5B97">
        <w:rPr>
          <w:rFonts w:ascii="Times New Roman" w:hAnsi="Times New Roman" w:cs="Times New Roman"/>
          <w:sz w:val="24"/>
          <w:szCs w:val="24"/>
        </w:rPr>
        <w:t>Enfin, l'hypertension portale peut provoquer une entéropathie exsudative. Cela augmente l'ascite en raison de la perte d'albumine du plasma, tout en favorisant la « nutrition » des bactéries du gros intestin par les protéines qui ont passé dans la lumière intestinale, augmentant ainsi la libération d'ammonium, toxique pour le cerveau.</w:t>
      </w:r>
    </w:p>
    <w:p w14:paraId="1DF3BC5E" w14:textId="77777777" w:rsidR="007A693A" w:rsidRPr="007A693A" w:rsidRDefault="007A693A" w:rsidP="007A693A">
      <w:pPr>
        <w:autoSpaceDE w:val="0"/>
        <w:autoSpaceDN w:val="0"/>
        <w:adjustRightInd w:val="0"/>
        <w:spacing w:after="0" w:line="240" w:lineRule="auto"/>
        <w:jc w:val="both"/>
        <w:rPr>
          <w:rFonts w:ascii="Times New Roman" w:hAnsi="Times New Roman" w:cs="Times New Roman"/>
          <w:iCs/>
          <w:sz w:val="24"/>
          <w:szCs w:val="24"/>
        </w:rPr>
      </w:pPr>
    </w:p>
    <w:p w14:paraId="2A8E1A1F" w14:textId="77777777" w:rsidR="00CC21A3" w:rsidRDefault="00425C12" w:rsidP="00425C12">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val="en-GB" w:eastAsia="en-GB"/>
        </w:rPr>
        <w:drawing>
          <wp:inline distT="0" distB="0" distL="0" distR="0" wp14:anchorId="0A899F89" wp14:editId="5CB9F63A">
            <wp:extent cx="5630172" cy="5840838"/>
            <wp:effectExtent l="19050" t="19050" r="27678" b="26562"/>
            <wp:docPr id="4" name="Рисунок 4" descr="C:\Users\Iuliana\Desk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H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533" cy="5857811"/>
                    </a:xfrm>
                    <a:prstGeom prst="rect">
                      <a:avLst/>
                    </a:prstGeom>
                    <a:noFill/>
                    <a:ln>
                      <a:solidFill>
                        <a:schemeClr val="tx1"/>
                      </a:solidFill>
                    </a:ln>
                  </pic:spPr>
                </pic:pic>
              </a:graphicData>
            </a:graphic>
          </wp:inline>
        </w:drawing>
      </w:r>
    </w:p>
    <w:p w14:paraId="288CE50A" w14:textId="77777777" w:rsidR="00425C12" w:rsidRDefault="00425C12" w:rsidP="00425C12">
      <w:pPr>
        <w:autoSpaceDE w:val="0"/>
        <w:autoSpaceDN w:val="0"/>
        <w:adjustRightInd w:val="0"/>
        <w:spacing w:after="0" w:line="240" w:lineRule="auto"/>
        <w:jc w:val="center"/>
        <w:rPr>
          <w:rFonts w:ascii="Times New Roman" w:hAnsi="Times New Roman" w:cs="Times New Roman"/>
          <w:iCs/>
          <w:sz w:val="24"/>
          <w:szCs w:val="24"/>
        </w:rPr>
      </w:pPr>
    </w:p>
    <w:p w14:paraId="403B78F0" w14:textId="77777777" w:rsidR="00425C12" w:rsidRDefault="00425C12" w:rsidP="00425C12">
      <w:pPr>
        <w:autoSpaceDE w:val="0"/>
        <w:autoSpaceDN w:val="0"/>
        <w:adjustRightInd w:val="0"/>
        <w:spacing w:after="0" w:line="240" w:lineRule="auto"/>
        <w:jc w:val="center"/>
        <w:rPr>
          <w:rFonts w:ascii="Times New Roman" w:hAnsi="Times New Roman" w:cs="Times New Roman"/>
          <w:b/>
          <w:iCs/>
          <w:sz w:val="24"/>
          <w:szCs w:val="24"/>
        </w:rPr>
      </w:pPr>
      <w:r w:rsidRPr="00425C12">
        <w:rPr>
          <w:rFonts w:ascii="Times New Roman" w:hAnsi="Times New Roman" w:cs="Times New Roman"/>
          <w:b/>
          <w:iCs/>
          <w:sz w:val="24"/>
          <w:szCs w:val="24"/>
        </w:rPr>
        <w:t>Fig.</w:t>
      </w:r>
      <w:r w:rsidR="002321FB">
        <w:rPr>
          <w:rFonts w:ascii="Times New Roman" w:hAnsi="Times New Roman" w:cs="Times New Roman"/>
          <w:b/>
          <w:iCs/>
          <w:sz w:val="24"/>
          <w:szCs w:val="24"/>
        </w:rPr>
        <w:t xml:space="preserve"> 8 </w:t>
      </w:r>
      <w:r w:rsidRPr="00425C12">
        <w:rPr>
          <w:rFonts w:ascii="Times New Roman" w:hAnsi="Times New Roman" w:cs="Times New Roman"/>
          <w:b/>
          <w:iCs/>
          <w:sz w:val="24"/>
          <w:szCs w:val="24"/>
        </w:rPr>
        <w:t xml:space="preserve">Causes et conséquences de l'hypertension portale </w:t>
      </w:r>
    </w:p>
    <w:p w14:paraId="449B73E4" w14:textId="77777777" w:rsidR="00FB5846" w:rsidRDefault="00FB5846" w:rsidP="00425C12">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S. Silbernagl et F. Lang ; Atlas couleur de pathophysiologie</w:t>
      </w:r>
      <w:r w:rsidR="00392592">
        <w:rPr>
          <w:rFonts w:ascii="Times New Roman" w:eastAsia="Sabon-Roman" w:hAnsi="Times New Roman" w:cs="Times New Roman"/>
          <w:bCs/>
          <w:sz w:val="24"/>
          <w:szCs w:val="24"/>
        </w:rPr>
        <w:t>)</w:t>
      </w:r>
    </w:p>
    <w:p w14:paraId="1AB9D077" w14:textId="77777777" w:rsidR="00392592" w:rsidRPr="00425C12" w:rsidRDefault="00392592" w:rsidP="00425C12">
      <w:pPr>
        <w:autoSpaceDE w:val="0"/>
        <w:autoSpaceDN w:val="0"/>
        <w:adjustRightInd w:val="0"/>
        <w:spacing w:after="0" w:line="240" w:lineRule="auto"/>
        <w:jc w:val="center"/>
        <w:rPr>
          <w:rFonts w:ascii="Times New Roman" w:hAnsi="Times New Roman" w:cs="Times New Roman"/>
          <w:b/>
          <w:iCs/>
          <w:sz w:val="24"/>
          <w:szCs w:val="24"/>
        </w:rPr>
      </w:pPr>
    </w:p>
    <w:p w14:paraId="657F2884" w14:textId="77777777" w:rsidR="00392592" w:rsidRPr="00425C12" w:rsidRDefault="00392592" w:rsidP="00392592">
      <w:pPr>
        <w:autoSpaceDE w:val="0"/>
        <w:autoSpaceDN w:val="0"/>
        <w:adjustRightInd w:val="0"/>
        <w:spacing w:after="0"/>
        <w:ind w:firstLine="720"/>
        <w:jc w:val="both"/>
        <w:rPr>
          <w:rFonts w:ascii="Times New Roman" w:hAnsi="Times New Roman" w:cs="Times New Roman"/>
          <w:b/>
          <w:sz w:val="24"/>
          <w:szCs w:val="24"/>
        </w:rPr>
      </w:pPr>
      <w:r w:rsidRPr="00554AFA">
        <w:rPr>
          <w:rFonts w:ascii="Times New Roman" w:hAnsi="Times New Roman" w:cs="Times New Roman"/>
          <w:b/>
          <w:iCs/>
          <w:sz w:val="24"/>
          <w:szCs w:val="24"/>
        </w:rPr>
        <w:t xml:space="preserve">L'hypertension portopulmonaire </w:t>
      </w:r>
      <w:r w:rsidRPr="005D0642">
        <w:rPr>
          <w:rFonts w:ascii="Times New Roman" w:hAnsi="Times New Roman" w:cs="Times New Roman"/>
          <w:sz w:val="24"/>
          <w:szCs w:val="24"/>
        </w:rPr>
        <w:t>désigne l'hypertension artérielle pulmonaire survenant dans le cadre d'une maladie hépatique et d'une hypertension portale. Mal comprise, elle semble dépendre d'une hypertension portale concomitante et d'une vasoconstriction pulmonaire excessive et d'un remodelage vasculaire. Les manifestations cliniques les plus courantes sont la dyspnée à l'effort et le clubbing des doigts</w:t>
      </w:r>
      <w:r w:rsidR="00661C31">
        <w:rPr>
          <w:rFonts w:ascii="Times New Roman" w:hAnsi="Times New Roman" w:cs="Times New Roman"/>
          <w:sz w:val="24"/>
          <w:szCs w:val="24"/>
        </w:rPr>
        <w:t xml:space="preserve">. </w:t>
      </w:r>
    </w:p>
    <w:p w14:paraId="5A422E23" w14:textId="77777777" w:rsidR="00CC21A3" w:rsidRDefault="00CC21A3" w:rsidP="007A693A">
      <w:pPr>
        <w:autoSpaceDE w:val="0"/>
        <w:autoSpaceDN w:val="0"/>
        <w:adjustRightInd w:val="0"/>
        <w:spacing w:after="0" w:line="240" w:lineRule="auto"/>
        <w:jc w:val="both"/>
        <w:rPr>
          <w:rFonts w:ascii="Times New Roman" w:hAnsi="Times New Roman" w:cs="Times New Roman"/>
          <w:iCs/>
          <w:sz w:val="24"/>
          <w:szCs w:val="24"/>
        </w:rPr>
      </w:pPr>
    </w:p>
    <w:p w14:paraId="37F0DAEB" w14:textId="77777777" w:rsidR="00627D68" w:rsidRPr="004725C9" w:rsidRDefault="007A693A" w:rsidP="004725C9">
      <w:pPr>
        <w:autoSpaceDE w:val="0"/>
        <w:autoSpaceDN w:val="0"/>
        <w:adjustRightInd w:val="0"/>
        <w:spacing w:after="0"/>
        <w:ind w:firstLine="720"/>
        <w:jc w:val="both"/>
        <w:rPr>
          <w:rFonts w:ascii="Times New Roman" w:hAnsi="Times New Roman" w:cs="Times New Roman"/>
          <w:i/>
          <w:iCs/>
          <w:color w:val="000000"/>
          <w:sz w:val="24"/>
          <w:szCs w:val="24"/>
        </w:rPr>
      </w:pPr>
      <w:r w:rsidRPr="00CC21A3">
        <w:rPr>
          <w:rFonts w:ascii="Times New Roman" w:hAnsi="Times New Roman" w:cs="Times New Roman"/>
          <w:b/>
          <w:iCs/>
          <w:sz w:val="24"/>
          <w:szCs w:val="24"/>
        </w:rPr>
        <w:t xml:space="preserve">Ascite. </w:t>
      </w:r>
      <w:r w:rsidRPr="007A693A">
        <w:rPr>
          <w:rFonts w:ascii="Times New Roman" w:hAnsi="Times New Roman" w:cs="Times New Roman"/>
          <w:iCs/>
          <w:sz w:val="24"/>
          <w:szCs w:val="24"/>
        </w:rPr>
        <w:t xml:space="preserve">L'ascite survient lorsque la quantité de liquide dans la cavité péritonéale augmente. Elle est une manifestation tardive de la cirrhose et de l'hypertension portale. Il n'est pas rare que les personnes atteintes d'une cirrhose avancée présentent une accumulation de 15 litres ou plus de liquide ascitique. </w:t>
      </w:r>
      <w:r w:rsidR="004725C9" w:rsidRPr="005D0642">
        <w:rPr>
          <w:rFonts w:ascii="Times New Roman" w:hAnsi="Times New Roman" w:cs="Times New Roman"/>
          <w:color w:val="000000"/>
          <w:sz w:val="24"/>
          <w:szCs w:val="24"/>
        </w:rPr>
        <w:t xml:space="preserve">Dans 85 % des cas, l'ascite est causée par une cirrhose. L'ascite devient généralement cliniquement détectable lorsqu'au moins 500 ml se sont accumulés. Le liquide est généralement séreux, contenant moins de 3 g/dl de protéines (principalement de l'albumine) et présentant un gradient albumine sérique/ascite ≥ 1,1 g/dl. Le liquide peut contenir un nombre faible de cellules mésothéliales et de leucocytes mononucléaires, comme l'indique l' . L'afflux de neutrophiles suggère une infection, tandis que la présence de cellules sanguines indique un possible cancer intra-abdominal disséminé. En cas d'ascite de longue date, l'infiltration de liquide péritonéal par les vaisseaux lymphatiques transdiaphragmatiques peut </w:t>
      </w:r>
      <w:r w:rsidR="00497309">
        <w:rPr>
          <w:rFonts w:ascii="Times New Roman" w:hAnsi="Times New Roman" w:cs="Times New Roman"/>
          <w:sz w:val="24"/>
          <w:szCs w:val="24"/>
        </w:rPr>
        <w:t xml:space="preserve">produire </w:t>
      </w:r>
      <w:r w:rsidR="004725C9" w:rsidRPr="005D0642">
        <w:rPr>
          <w:rFonts w:ascii="Times New Roman" w:hAnsi="Times New Roman" w:cs="Times New Roman"/>
          <w:sz w:val="24"/>
          <w:szCs w:val="24"/>
        </w:rPr>
        <w:t xml:space="preserve">un hydrothorax, plus souvent du côté droit. </w:t>
      </w:r>
      <w:r w:rsidRPr="007A693A">
        <w:rPr>
          <w:rFonts w:ascii="Times New Roman" w:hAnsi="Times New Roman" w:cs="Times New Roman"/>
          <w:iCs/>
          <w:sz w:val="24"/>
          <w:szCs w:val="24"/>
        </w:rPr>
        <w:t xml:space="preserve">Les personnes qui accumulent une telle quantité de liquide souffrent souvent de douleurs abdominales, de dyspnée et d'insomnie. Certaines peuvent avoir des difficultés à marcher ou à vivre de manière autonome. </w:t>
      </w:r>
    </w:p>
    <w:p w14:paraId="2E0B39EC" w14:textId="77777777" w:rsidR="004725C9" w:rsidRDefault="007A693A" w:rsidP="008B45C6">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Bien que les mécanismes responsables du développement de l'ascite ne soient pas entièrement compris, plusieurs facteurs semblent contribuer à l'accumulation de liquide, notamment une augmentation de la pression capillaire</w:t>
      </w:r>
      <w:r w:rsidR="004725C9">
        <w:rPr>
          <w:rFonts w:ascii="Times New Roman" w:hAnsi="Times New Roman" w:cs="Times New Roman"/>
          <w:iCs/>
          <w:sz w:val="24"/>
          <w:szCs w:val="24"/>
        </w:rPr>
        <w:t xml:space="preserve"> hydrostatique </w:t>
      </w:r>
      <w:r w:rsidRPr="007A693A">
        <w:rPr>
          <w:rFonts w:ascii="Times New Roman" w:hAnsi="Times New Roman" w:cs="Times New Roman"/>
          <w:iCs/>
          <w:sz w:val="24"/>
          <w:szCs w:val="24"/>
        </w:rPr>
        <w:t xml:space="preserve">due à une hypertension portale et à une obstruction du flux veineux à travers le foie </w:t>
      </w:r>
      <w:r w:rsidR="004725C9">
        <w:rPr>
          <w:rFonts w:ascii="Times New Roman" w:hAnsi="Times New Roman" w:cs="Times New Roman"/>
          <w:iCs/>
          <w:sz w:val="24"/>
          <w:szCs w:val="24"/>
        </w:rPr>
        <w:t>(mécanisme hydrostatique)</w:t>
      </w:r>
      <w:r w:rsidRPr="007A693A">
        <w:rPr>
          <w:rFonts w:ascii="Times New Roman" w:hAnsi="Times New Roman" w:cs="Times New Roman"/>
          <w:iCs/>
          <w:sz w:val="24"/>
          <w:szCs w:val="24"/>
        </w:rPr>
        <w:t xml:space="preserve">, la rétention de sel et d'eau par les reins </w:t>
      </w:r>
      <w:r w:rsidR="004725C9">
        <w:rPr>
          <w:rFonts w:ascii="Times New Roman" w:hAnsi="Times New Roman" w:cs="Times New Roman"/>
          <w:iCs/>
          <w:sz w:val="24"/>
          <w:szCs w:val="24"/>
        </w:rPr>
        <w:t>(mécanisme osmotique)</w:t>
      </w:r>
      <w:r w:rsidR="00497309">
        <w:rPr>
          <w:rFonts w:ascii="Times New Roman" w:hAnsi="Times New Roman" w:cs="Times New Roman"/>
          <w:iCs/>
          <w:sz w:val="24"/>
          <w:szCs w:val="24"/>
        </w:rPr>
        <w:t xml:space="preserve">, </w:t>
      </w:r>
      <w:r w:rsidRPr="007A693A">
        <w:rPr>
          <w:rFonts w:ascii="Times New Roman" w:hAnsi="Times New Roman" w:cs="Times New Roman"/>
          <w:iCs/>
          <w:sz w:val="24"/>
          <w:szCs w:val="24"/>
        </w:rPr>
        <w:t>la diminution de la pression</w:t>
      </w:r>
      <w:r w:rsidR="00497309">
        <w:rPr>
          <w:rFonts w:ascii="Times New Roman" w:hAnsi="Times New Roman" w:cs="Times New Roman"/>
          <w:iCs/>
          <w:sz w:val="24"/>
          <w:szCs w:val="24"/>
        </w:rPr>
        <w:t xml:space="preserve"> oncotique </w:t>
      </w:r>
      <w:r w:rsidRPr="007A693A">
        <w:rPr>
          <w:rFonts w:ascii="Times New Roman" w:hAnsi="Times New Roman" w:cs="Times New Roman"/>
          <w:iCs/>
          <w:sz w:val="24"/>
          <w:szCs w:val="24"/>
        </w:rPr>
        <w:t xml:space="preserve">due à une synthèse altérée de l'albumine par le foie </w:t>
      </w:r>
      <w:r w:rsidR="004725C9">
        <w:rPr>
          <w:rFonts w:ascii="Times New Roman" w:hAnsi="Times New Roman" w:cs="Times New Roman"/>
          <w:iCs/>
          <w:sz w:val="24"/>
          <w:szCs w:val="24"/>
        </w:rPr>
        <w:t>(mécanismes hypooncotiques)</w:t>
      </w:r>
      <w:r w:rsidR="00497309">
        <w:rPr>
          <w:rFonts w:ascii="Times New Roman" w:hAnsi="Times New Roman" w:cs="Times New Roman"/>
          <w:iCs/>
          <w:sz w:val="24"/>
          <w:szCs w:val="24"/>
        </w:rPr>
        <w:t xml:space="preserve">, l'altération du drainage lymphatique (mécanisme lymphostatique) et l'augmentation directe de la perméabilité des parois vasculaires (mécanisme membranogène) </w:t>
      </w:r>
      <w:r w:rsidR="008B45C6">
        <w:rPr>
          <w:rFonts w:ascii="Times New Roman" w:hAnsi="Times New Roman" w:cs="Times New Roman"/>
          <w:iCs/>
          <w:sz w:val="24"/>
          <w:szCs w:val="24"/>
        </w:rPr>
        <w:t xml:space="preserve">. </w:t>
      </w:r>
    </w:p>
    <w:p w14:paraId="7FB9D052" w14:textId="77777777" w:rsidR="007A693A" w:rsidRPr="00497309" w:rsidRDefault="008B45C6" w:rsidP="0049730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iCs/>
          <w:sz w:val="24"/>
          <w:szCs w:val="24"/>
        </w:rPr>
        <w:t>La diminution du volume sanguin (</w:t>
      </w:r>
      <w:r w:rsidR="007A693A" w:rsidRPr="008B45C6">
        <w:rPr>
          <w:rFonts w:ascii="Times New Roman" w:hAnsi="Times New Roman" w:cs="Times New Roman"/>
          <w:i/>
          <w:iCs/>
          <w:sz w:val="24"/>
          <w:szCs w:val="24"/>
        </w:rPr>
        <w:t>théorie du sous-remplissage</w:t>
      </w:r>
      <w:r w:rsidR="007A693A" w:rsidRPr="007A693A">
        <w:rPr>
          <w:rFonts w:ascii="Times New Roman" w:hAnsi="Times New Roman" w:cs="Times New Roman"/>
          <w:iCs/>
          <w:sz w:val="24"/>
          <w:szCs w:val="24"/>
        </w:rPr>
        <w:t xml:space="preserve">) </w:t>
      </w:r>
      <w:r>
        <w:rPr>
          <w:rFonts w:ascii="Times New Roman" w:hAnsi="Times New Roman" w:cs="Times New Roman"/>
          <w:iCs/>
          <w:sz w:val="24"/>
          <w:szCs w:val="24"/>
        </w:rPr>
        <w:t xml:space="preserve">et l'excès de volume sanguin </w:t>
      </w:r>
      <w:r w:rsidRPr="008B45C6">
        <w:rPr>
          <w:rFonts w:ascii="Times New Roman" w:hAnsi="Times New Roman" w:cs="Times New Roman"/>
          <w:i/>
          <w:iCs/>
          <w:sz w:val="24"/>
          <w:szCs w:val="24"/>
        </w:rPr>
        <w:t>(</w:t>
      </w:r>
      <w:r w:rsidR="007A693A" w:rsidRPr="008B45C6">
        <w:rPr>
          <w:rFonts w:ascii="Times New Roman" w:hAnsi="Times New Roman" w:cs="Times New Roman"/>
          <w:i/>
          <w:iCs/>
          <w:sz w:val="24"/>
          <w:szCs w:val="24"/>
        </w:rPr>
        <w:t>théorie du surremplissage</w:t>
      </w:r>
      <w:r w:rsidR="007A693A" w:rsidRPr="007A693A">
        <w:rPr>
          <w:rFonts w:ascii="Times New Roman" w:hAnsi="Times New Roman" w:cs="Times New Roman"/>
          <w:iCs/>
          <w:sz w:val="24"/>
          <w:szCs w:val="24"/>
        </w:rPr>
        <w:t xml:space="preserve">) ont été utilisés pour expliquer l'augmentation de la rétention de sel et d'eau par les reins. Selon la </w:t>
      </w:r>
      <w:r w:rsidR="007A693A" w:rsidRPr="00BA5FE1">
        <w:rPr>
          <w:rFonts w:ascii="Times New Roman" w:hAnsi="Times New Roman" w:cs="Times New Roman"/>
          <w:i/>
          <w:iCs/>
          <w:sz w:val="24"/>
          <w:szCs w:val="24"/>
        </w:rPr>
        <w:t>théorie du sous-remplissage</w:t>
      </w:r>
      <w:r w:rsidR="007A693A" w:rsidRPr="007A693A">
        <w:rPr>
          <w:rFonts w:ascii="Times New Roman" w:hAnsi="Times New Roman" w:cs="Times New Roman"/>
          <w:iCs/>
          <w:sz w:val="24"/>
          <w:szCs w:val="24"/>
        </w:rPr>
        <w:t xml:space="preserve">, une </w:t>
      </w:r>
      <w:r w:rsidR="004725C9">
        <w:rPr>
          <w:rFonts w:ascii="Times New Roman" w:hAnsi="Times New Roman" w:cs="Times New Roman"/>
          <w:iCs/>
          <w:sz w:val="24"/>
          <w:szCs w:val="24"/>
        </w:rPr>
        <w:t xml:space="preserve">contraction du volume sanguin effectif </w:t>
      </w:r>
      <w:r w:rsidR="007A693A" w:rsidRPr="007A693A">
        <w:rPr>
          <w:rFonts w:ascii="Times New Roman" w:hAnsi="Times New Roman" w:cs="Times New Roman"/>
          <w:iCs/>
          <w:sz w:val="24"/>
          <w:szCs w:val="24"/>
        </w:rPr>
        <w:t xml:space="preserve">constitue un signal afférent qui amène les reins à retenir le sel et l'eau. Le volume sanguin effectif peut être réduit en raison d'une perte de liquide dans la cavité péritonéale </w:t>
      </w:r>
      <w:r w:rsidR="004725C9">
        <w:rPr>
          <w:rFonts w:ascii="Times New Roman" w:hAnsi="Times New Roman" w:cs="Times New Roman"/>
          <w:iCs/>
          <w:sz w:val="24"/>
          <w:szCs w:val="24"/>
        </w:rPr>
        <w:t xml:space="preserve">ainsi que </w:t>
      </w:r>
      <w:r w:rsidR="007A693A" w:rsidRPr="007A693A">
        <w:rPr>
          <w:rFonts w:ascii="Times New Roman" w:hAnsi="Times New Roman" w:cs="Times New Roman"/>
          <w:iCs/>
          <w:sz w:val="24"/>
          <w:szCs w:val="24"/>
        </w:rPr>
        <w:t>d'</w:t>
      </w:r>
      <w:r w:rsidR="004725C9">
        <w:rPr>
          <w:rFonts w:ascii="Times New Roman" w:hAnsi="Times New Roman" w:cs="Times New Roman"/>
          <w:iCs/>
          <w:sz w:val="24"/>
          <w:szCs w:val="24"/>
        </w:rPr>
        <w:t xml:space="preserve">un œdème </w:t>
      </w:r>
      <w:r w:rsidR="007A693A" w:rsidRPr="007A693A">
        <w:rPr>
          <w:rFonts w:ascii="Times New Roman" w:hAnsi="Times New Roman" w:cs="Times New Roman"/>
          <w:iCs/>
          <w:sz w:val="24"/>
          <w:szCs w:val="24"/>
        </w:rPr>
        <w:t xml:space="preserve">ou d'une vasodilatation causée par la présence de substances vasodilatatrices circulantes. </w:t>
      </w:r>
      <w:r w:rsidR="00BA5FE1" w:rsidRPr="005D0642">
        <w:rPr>
          <w:rFonts w:ascii="Times New Roman" w:hAnsi="Times New Roman" w:cs="Times New Roman"/>
          <w:sz w:val="24"/>
          <w:szCs w:val="24"/>
        </w:rPr>
        <w:t xml:space="preserve">La vasodilatation artérielle dans la circulation splanchnique tend à réduire la pression artérielle. Avec l'aggravation de la vasodilatation, la fréquence cardiaque et le débit cardiaque ne parviennent plus à maintenir la pression artérielle. Cela déclenche l'activation de </w:t>
      </w:r>
      <w:r w:rsidR="00BA5FE1" w:rsidRPr="005D0642">
        <w:rPr>
          <w:rFonts w:ascii="Times New Roman" w:hAnsi="Times New Roman" w:cs="Times New Roman"/>
          <w:color w:val="000000"/>
          <w:sz w:val="24"/>
          <w:szCs w:val="24"/>
        </w:rPr>
        <w:t>vasoconstricteurs, notamment le système rénine-angiotensine, et augmente également la sécrétion d'hormone antidiurétique. La combinaison de l'hypertension portale, de la vasodilatation et de la rétention de sodium et d'eau augmente la pression de perfusion des capillaires interstitiels, provoquant une extravasation de liquide dans la cavité abdominale.</w:t>
      </w:r>
      <w:r w:rsidR="00497309">
        <w:rPr>
          <w:rFonts w:ascii="Times New Roman" w:hAnsi="Times New Roman" w:cs="Times New Roman"/>
          <w:sz w:val="24"/>
          <w:szCs w:val="24"/>
        </w:rPr>
        <w:t xml:space="preserve"> </w:t>
      </w:r>
      <w:r w:rsidR="007A693A" w:rsidRPr="005C43C0">
        <w:rPr>
          <w:rFonts w:ascii="Times New Roman" w:hAnsi="Times New Roman" w:cs="Times New Roman"/>
          <w:i/>
          <w:iCs/>
          <w:sz w:val="24"/>
          <w:szCs w:val="24"/>
        </w:rPr>
        <w:t xml:space="preserve">La théorie du remplissage excessif </w:t>
      </w:r>
      <w:r w:rsidR="007A693A" w:rsidRPr="007A693A">
        <w:rPr>
          <w:rFonts w:ascii="Times New Roman" w:hAnsi="Times New Roman" w:cs="Times New Roman"/>
          <w:iCs/>
          <w:sz w:val="24"/>
          <w:szCs w:val="24"/>
        </w:rPr>
        <w:t xml:space="preserve">propose que l'événement initial dans le développement de l'ascite est la rétention rénale de sel et d'eau causée par des perturbations dans le foie lui-même. Ces perturbations comprennent l'incapacité du foie à métaboliser l'aldostérone, ce qui entraîne une augmentation de la rétention de sel et d'eau par les reins </w:t>
      </w:r>
      <w:r w:rsidR="004725C9">
        <w:rPr>
          <w:rFonts w:ascii="Times New Roman" w:hAnsi="Times New Roman" w:cs="Times New Roman"/>
          <w:iCs/>
          <w:sz w:val="24"/>
          <w:szCs w:val="24"/>
        </w:rPr>
        <w:t>(hyperaldostéronisme secondaire)</w:t>
      </w:r>
      <w:r w:rsidR="007A693A" w:rsidRPr="007A693A">
        <w:rPr>
          <w:rFonts w:ascii="Times New Roman" w:hAnsi="Times New Roman" w:cs="Times New Roman"/>
          <w:iCs/>
          <w:sz w:val="24"/>
          <w:szCs w:val="24"/>
        </w:rPr>
        <w:t xml:space="preserve">. </w:t>
      </w:r>
    </w:p>
    <w:p w14:paraId="1679E5D5" w14:textId="77777777" w:rsidR="004725C9" w:rsidRPr="005C43C0" w:rsidRDefault="00BA5FE1" w:rsidP="005C43C0">
      <w:pPr>
        <w:autoSpaceDE w:val="0"/>
        <w:autoSpaceDN w:val="0"/>
        <w:adjustRightInd w:val="0"/>
        <w:spacing w:after="0"/>
        <w:ind w:firstLine="720"/>
        <w:jc w:val="both"/>
        <w:rPr>
          <w:rFonts w:ascii="Times New Roman" w:hAnsi="Times New Roman" w:cs="Times New Roman"/>
          <w:sz w:val="24"/>
          <w:szCs w:val="24"/>
        </w:rPr>
      </w:pPr>
      <w:r w:rsidRPr="00BA5FE1">
        <w:rPr>
          <w:rFonts w:ascii="Times New Roman" w:hAnsi="Times New Roman" w:cs="Times New Roman"/>
          <w:iCs/>
          <w:sz w:val="24"/>
          <w:szCs w:val="24"/>
        </w:rPr>
        <w:t xml:space="preserve">Un autre mécanisme dans le développement de l'ascite est le mécanisme lymphatique </w:t>
      </w:r>
      <w:r w:rsidR="00497309">
        <w:rPr>
          <w:rFonts w:ascii="Times New Roman" w:hAnsi="Times New Roman" w:cs="Times New Roman"/>
          <w:iCs/>
          <w:sz w:val="24"/>
          <w:szCs w:val="24"/>
        </w:rPr>
        <w:t xml:space="preserve">dû à </w:t>
      </w:r>
      <w:r w:rsidRPr="00BA5FE1">
        <w:rPr>
          <w:rFonts w:ascii="Times New Roman" w:hAnsi="Times New Roman" w:cs="Times New Roman"/>
          <w:iCs/>
          <w:sz w:val="24"/>
          <w:szCs w:val="24"/>
        </w:rPr>
        <w:t xml:space="preserve">la percolation de la lymphe hépatique dans la </w:t>
      </w:r>
      <w:r>
        <w:rPr>
          <w:rFonts w:ascii="Times New Roman" w:hAnsi="Times New Roman" w:cs="Times New Roman"/>
          <w:iCs/>
          <w:sz w:val="24"/>
          <w:szCs w:val="24"/>
        </w:rPr>
        <w:t xml:space="preserve">cavité péritonéale. </w:t>
      </w:r>
      <w:r w:rsidRPr="00BA5FE1">
        <w:rPr>
          <w:rFonts w:ascii="Times New Roman" w:hAnsi="Times New Roman" w:cs="Times New Roman"/>
          <w:sz w:val="24"/>
          <w:szCs w:val="24"/>
        </w:rPr>
        <w:t xml:space="preserve">Le débit lymphatique normal du canal thoracique est d'environ 800 à 1000 ml/jour. En cas de cirrhose, </w:t>
      </w:r>
      <w:r w:rsidRPr="005D0642">
        <w:rPr>
          <w:rFonts w:ascii="Times New Roman" w:hAnsi="Times New Roman" w:cs="Times New Roman"/>
          <w:sz w:val="24"/>
          <w:szCs w:val="24"/>
        </w:rPr>
        <w:t xml:space="preserve">le débit lymphatique </w:t>
      </w:r>
      <w:r w:rsidRPr="00BA5FE1">
        <w:rPr>
          <w:rFonts w:ascii="Times New Roman" w:hAnsi="Times New Roman" w:cs="Times New Roman"/>
          <w:sz w:val="24"/>
          <w:szCs w:val="24"/>
        </w:rPr>
        <w:t xml:space="preserve">hépatique </w:t>
      </w:r>
      <w:r w:rsidRPr="005D0642">
        <w:rPr>
          <w:rFonts w:ascii="Times New Roman" w:hAnsi="Times New Roman" w:cs="Times New Roman"/>
          <w:sz w:val="24"/>
          <w:szCs w:val="24"/>
        </w:rPr>
        <w:t>peut atteindre 20 l/jour, dépassant la capacité du canal thoracique. La lymphe hépatique est riche en protéines et pauvre en triglycérides, ce qui explique la présence de protéines dans le liquide ascitique.</w:t>
      </w:r>
    </w:p>
    <w:p w14:paraId="5D72E296" w14:textId="77777777"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 xml:space="preserve">La péritonite bactérienne spontanée </w:t>
      </w:r>
      <w:r w:rsidRPr="007A693A">
        <w:rPr>
          <w:rFonts w:ascii="Times New Roman" w:hAnsi="Times New Roman" w:cs="Times New Roman"/>
          <w:iCs/>
          <w:sz w:val="24"/>
          <w:szCs w:val="24"/>
        </w:rPr>
        <w:t>est une complication chez les personnes atteintes à la fois de cirrhose et d'ascite. L'infection est grave et entraîne un taux de mortalité élevé, même lorsqu'elle est traitée par antibiotiques. On suppose que le liquide péritonéal est contaminé par des bactéries provenant du sang ou de la lymphe ou par le passage de bactéries à travers la paroi intestinale. Les symptômes comprennent de la fièvre et des douleurs abdominales. D'autres symptômes incluent une aggravation de l'encéphalopathie hépatique, une diarrhée, une hypothermie et un état de choc. Le diagnostic est posé lorsque le nombre de neutrophiles est supérieur ou égal à 250 cellules/mm</w:t>
      </w:r>
      <w:r w:rsidRPr="007B5886">
        <w:rPr>
          <w:rFonts w:ascii="Times New Roman" w:hAnsi="Times New Roman" w:cs="Times New Roman"/>
          <w:iCs/>
          <w:sz w:val="24"/>
          <w:szCs w:val="24"/>
          <w:vertAlign w:val="superscript"/>
        </w:rPr>
        <w:t>3</w:t>
      </w:r>
      <w:r w:rsidRPr="007A693A">
        <w:rPr>
          <w:rFonts w:ascii="Times New Roman" w:hAnsi="Times New Roman" w:cs="Times New Roman"/>
          <w:iCs/>
          <w:sz w:val="24"/>
          <w:szCs w:val="24"/>
        </w:rPr>
        <w:t xml:space="preserve">  et que la concentration en protéines dans le liquide ascitique est inférieure ou égale à 1 g/dL.</w:t>
      </w:r>
    </w:p>
    <w:p w14:paraId="1B6B75E7" w14:textId="77777777"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Splénomégalie</w:t>
      </w:r>
      <w:r w:rsidRPr="007A693A">
        <w:rPr>
          <w:rFonts w:ascii="Times New Roman" w:hAnsi="Times New Roman" w:cs="Times New Roman"/>
          <w:iCs/>
          <w:sz w:val="24"/>
          <w:szCs w:val="24"/>
        </w:rPr>
        <w:t xml:space="preserve">. La rate grossit progressivement en cas d'hypertension portale en raison du shunt sanguin vers la veine splénique. </w:t>
      </w:r>
      <w:r w:rsidR="005C43C0" w:rsidRPr="005D0642">
        <w:rPr>
          <w:rFonts w:ascii="Times New Roman" w:hAnsi="Times New Roman" w:cs="Times New Roman"/>
          <w:color w:val="000000"/>
          <w:sz w:val="24"/>
          <w:szCs w:val="24"/>
        </w:rPr>
        <w:t xml:space="preserve">Le degré d'hypertrophie splénique varie considérablement et peut atteindre jusqu'à 1 000 g, mais il n'est pas nécessairement corrélé à d'autres caractéristiques de l'hypertension portale. </w:t>
      </w:r>
      <w:r w:rsidRPr="007A693A">
        <w:rPr>
          <w:rFonts w:ascii="Times New Roman" w:hAnsi="Times New Roman" w:cs="Times New Roman"/>
          <w:iCs/>
          <w:sz w:val="24"/>
          <w:szCs w:val="24"/>
        </w:rPr>
        <w:t xml:space="preserve">L' e hypertrophie splénique entraîne souvent la séquestration d'un nombre important d'éléments sanguins et le développement d'un syndrome connu sous le nom </w:t>
      </w:r>
      <w:r w:rsidRPr="006763CC">
        <w:rPr>
          <w:rFonts w:ascii="Times New Roman" w:hAnsi="Times New Roman" w:cs="Times New Roman"/>
          <w:i/>
          <w:iCs/>
          <w:sz w:val="24"/>
          <w:szCs w:val="24"/>
        </w:rPr>
        <w:t>d'hypersplénisme</w:t>
      </w:r>
      <w:r w:rsidRPr="007A693A">
        <w:rPr>
          <w:rFonts w:ascii="Times New Roman" w:hAnsi="Times New Roman" w:cs="Times New Roman"/>
          <w:iCs/>
          <w:sz w:val="24"/>
          <w:szCs w:val="24"/>
        </w:rPr>
        <w:t>. L'hypersplénisme se caractérise par une diminution de la durée de vie et une diminution consécutive de tous les éléments formés du sang, entraînant une anémie, une thrombocytopénie et une leucopénie. On pense que la diminution de la durée de vie des éléments sanguins résulte d'une augmentation du taux d'élimination due à la prolongation du temps de transit à travers la rate hypertrophiée.</w:t>
      </w:r>
    </w:p>
    <w:p w14:paraId="0496D77E" w14:textId="77777777"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Shunts portosystémiques</w:t>
      </w:r>
      <w:r w:rsidRPr="007A693A">
        <w:rPr>
          <w:rFonts w:ascii="Times New Roman" w:hAnsi="Times New Roman" w:cs="Times New Roman"/>
          <w:iCs/>
          <w:sz w:val="24"/>
          <w:szCs w:val="24"/>
        </w:rPr>
        <w:t xml:space="preserve">. Avec l'obstruction progressive du flux sanguin veineux dans le foie, la pression dans la veine porte augmente et de grands canaux collatéraux se développent entre les veines porte et systémiques qui alimentent le rectum inférieur et l'œsophage, ainsi que les veines ombilicales du ligament falciforme qui se fixe à la paroi antérieure de l'abdomen. Les collatéraux entre les veines iliaques inférieures et internes peuvent donner lieu à des hémorroïdes. Chez certaines personnes, la veine ombilicale fœtale n'est pas totalement oblitérée ; elle forme un canal sur la paroi abdominale antérieure. Les veines dilatées autour de l'ombilic sont appelées </w:t>
      </w:r>
      <w:r w:rsidRPr="007B5886">
        <w:rPr>
          <w:rFonts w:ascii="Times New Roman" w:hAnsi="Times New Roman" w:cs="Times New Roman"/>
          <w:i/>
          <w:iCs/>
          <w:sz w:val="24"/>
          <w:szCs w:val="24"/>
        </w:rPr>
        <w:t>caput medusae</w:t>
      </w:r>
      <w:r w:rsidRPr="007A693A">
        <w:rPr>
          <w:rFonts w:ascii="Times New Roman" w:hAnsi="Times New Roman" w:cs="Times New Roman"/>
          <w:iCs/>
          <w:sz w:val="24"/>
          <w:szCs w:val="24"/>
        </w:rPr>
        <w:t xml:space="preserve">. Des shunts portopulmonaires peuvent également se développer et faire contourner les capillaires pulmonaires par le sang, ce qui interfère avec l'oxygénation du sang et provoque une cyanose. Sur le plan clinique, les canaux collatéraux les plus importants sont ceux qui relient les veines portales et coronaires, entraînant une inversion du flux sanguin et la formation de varices à paroi mince dans la sous-muqueuse de l'œsophage. Ces varices œsophagiennes à paroi mince sont susceptibles de se rompre, provoquant des hémorragies massives et parfois mortelles. Une synthèse hépatique altérée des facteurs de coagulation et </w:t>
      </w:r>
      <w:r w:rsidR="005949BC">
        <w:rPr>
          <w:rFonts w:ascii="Times New Roman" w:hAnsi="Times New Roman" w:cs="Times New Roman"/>
          <w:iCs/>
          <w:sz w:val="24"/>
          <w:szCs w:val="24"/>
        </w:rPr>
        <w:t>une diminution du nombre de plaquettes (</w:t>
      </w:r>
      <w:r w:rsidRPr="007A693A">
        <w:rPr>
          <w:rFonts w:ascii="Times New Roman" w:hAnsi="Times New Roman" w:cs="Times New Roman"/>
          <w:iCs/>
          <w:sz w:val="24"/>
          <w:szCs w:val="24"/>
        </w:rPr>
        <w:t>thrombocytopénie) due à une splénomégalie peuvent compliquer davantage le contrôle des saignements œsophagiens. Des varices œsophagiennes se développent chez environ 65 % des personnes atteintes de cirrhose avancée et provoquent des hémorragies massives et la mort chez environ la moitié d'entre elles</w:t>
      </w:r>
      <w:r w:rsidR="007B5886" w:rsidRPr="00106D85">
        <w:rPr>
          <w:rFonts w:ascii="Times New Roman" w:hAnsi="Times New Roman" w:cs="Times New Roman"/>
          <w:iCs/>
          <w:color w:val="000000"/>
          <w:sz w:val="24"/>
          <w:szCs w:val="24"/>
        </w:rPr>
        <w:t>. Chaque épisode hémorragique est associé à une mortalité de 30 %.</w:t>
      </w:r>
    </w:p>
    <w:p w14:paraId="29D5B592" w14:textId="77777777" w:rsidR="005D364D" w:rsidRDefault="005D364D" w:rsidP="005C43C0">
      <w:pPr>
        <w:autoSpaceDE w:val="0"/>
        <w:autoSpaceDN w:val="0"/>
        <w:adjustRightInd w:val="0"/>
        <w:spacing w:after="0"/>
        <w:rPr>
          <w:rFonts w:ascii="Times New Roman" w:hAnsi="Times New Roman" w:cs="Times New Roman"/>
          <w:iCs/>
          <w:color w:val="292526"/>
          <w:sz w:val="20"/>
          <w:szCs w:val="20"/>
        </w:rPr>
      </w:pPr>
    </w:p>
    <w:p w14:paraId="06A36FBE" w14:textId="77777777" w:rsidR="00FB5846" w:rsidRDefault="00FB5846" w:rsidP="005D364D">
      <w:pPr>
        <w:autoSpaceDE w:val="0"/>
        <w:autoSpaceDN w:val="0"/>
        <w:adjustRightInd w:val="0"/>
        <w:spacing w:after="0"/>
        <w:rPr>
          <w:rFonts w:ascii="Times New Roman" w:hAnsi="Times New Roman" w:cs="Times New Roman"/>
          <w:iCs/>
          <w:color w:val="292526"/>
          <w:sz w:val="20"/>
          <w:szCs w:val="20"/>
        </w:rPr>
      </w:pPr>
    </w:p>
    <w:p w14:paraId="47028D5C" w14:textId="77777777" w:rsidR="005D364D" w:rsidRPr="00051B5F" w:rsidRDefault="005D364D" w:rsidP="005D364D">
      <w:pPr>
        <w:autoSpaceDE w:val="0"/>
        <w:autoSpaceDN w:val="0"/>
        <w:adjustRightInd w:val="0"/>
        <w:spacing w:after="0" w:line="240" w:lineRule="auto"/>
        <w:ind w:firstLine="720"/>
        <w:jc w:val="center"/>
        <w:rPr>
          <w:rFonts w:ascii="Times New Roman" w:hAnsi="Times New Roman" w:cs="Times New Roman"/>
          <w:b/>
          <w:bCs/>
          <w:color w:val="000000" w:themeColor="text1"/>
          <w:sz w:val="28"/>
          <w:szCs w:val="28"/>
        </w:rPr>
      </w:pPr>
      <w:r w:rsidRPr="00051B5F">
        <w:rPr>
          <w:rFonts w:ascii="Times New Roman" w:hAnsi="Times New Roman" w:cs="Times New Roman"/>
          <w:b/>
          <w:bCs/>
          <w:color w:val="000000" w:themeColor="text1"/>
          <w:sz w:val="28"/>
          <w:szCs w:val="28"/>
        </w:rPr>
        <w:t>Troubles de l'élimination de la bilirubine</w:t>
      </w:r>
    </w:p>
    <w:p w14:paraId="47F5EB3F" w14:textId="77777777" w:rsidR="005D364D" w:rsidRPr="00051B5F" w:rsidRDefault="005D364D" w:rsidP="005E17D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051B5F">
        <w:rPr>
          <w:rFonts w:ascii="Times New Roman" w:hAnsi="Times New Roman" w:cs="Times New Roman"/>
          <w:b/>
          <w:bCs/>
          <w:color w:val="000000" w:themeColor="text1"/>
          <w:sz w:val="28"/>
          <w:szCs w:val="28"/>
        </w:rPr>
        <w:t xml:space="preserve">   Ictère et cholestase</w:t>
      </w:r>
    </w:p>
    <w:p w14:paraId="404EAE26" w14:textId="77777777" w:rsidR="00393B6D" w:rsidRPr="001279ED" w:rsidRDefault="005D364D" w:rsidP="006F0E11">
      <w:pPr>
        <w:spacing w:line="240" w:lineRule="auto"/>
        <w:jc w:val="both"/>
        <w:rPr>
          <w:rFonts w:ascii="Times New Roman" w:hAnsi="Times New Roman" w:cs="Times New Roman"/>
          <w:b/>
          <w:sz w:val="20"/>
          <w:szCs w:val="20"/>
        </w:rPr>
      </w:pPr>
      <w:r w:rsidRPr="005D364D">
        <w:rPr>
          <w:rFonts w:ascii="Times New Roman" w:hAnsi="Times New Roman" w:cs="Times New Roman"/>
          <w:bCs/>
          <w:i/>
          <w:noProof/>
          <w:sz w:val="20"/>
          <w:szCs w:val="20"/>
          <w:lang w:val="en-GB" w:eastAsia="en-GB"/>
        </w:rPr>
        <w:drawing>
          <wp:inline distT="0" distB="0" distL="0" distR="0" wp14:anchorId="6527F665" wp14:editId="49246D0A">
            <wp:extent cx="475414" cy="360609"/>
            <wp:effectExtent l="19050" t="19050" r="1270" b="190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bCs/>
          <w:i/>
          <w:sz w:val="20"/>
          <w:szCs w:val="20"/>
        </w:rPr>
        <w:t xml:space="preserve"> </w:t>
      </w:r>
      <w:r w:rsidR="00393B6D" w:rsidRPr="001279ED">
        <w:rPr>
          <w:rFonts w:ascii="Times New Roman" w:hAnsi="Times New Roman" w:cs="Times New Roman"/>
          <w:b/>
          <w:sz w:val="20"/>
          <w:szCs w:val="20"/>
        </w:rPr>
        <w:t xml:space="preserve">Sécrétion et composition de la bile. </w:t>
      </w:r>
      <w:r w:rsidR="00393B6D" w:rsidRPr="001279ED">
        <w:rPr>
          <w:rFonts w:ascii="Times New Roman" w:hAnsi="Times New Roman" w:cs="Times New Roman"/>
          <w:sz w:val="20"/>
          <w:szCs w:val="20"/>
        </w:rPr>
        <w:t>La bile formée dans les lobules hépatiques est sécrétée dans un réseau complexe de canalicules, de petits canalicules biliaires et de canaux biliaires plus grands qui s'écoulent avec les vaisseaux lymphatiques et les branches de la veine porte et de l'artère hépatique dans les voies portales situées entre les lobules hépatiques. Ces canaux biliaires interlobulaires fusionnent pour former des canaux biliaires septaux plus grands qui se rejoignent pour former les canaux hépatiques droit et gauche, qui à leur tour s'unissent pour former le canal hépatique commun. Le canal hépatique commun est rejoint par le canal cystique de la vésicule biliaire pour former le canal cholédoque commun (CBD), qui pénètre dans le duodénum (souvent après avoir rejoint le canal pancréatique principal) par l'ampoule de Vater.</w:t>
      </w:r>
      <w:r w:rsidR="001279ED">
        <w:rPr>
          <w:rFonts w:ascii="Times New Roman" w:hAnsi="Times New Roman" w:cs="Times New Roman"/>
          <w:b/>
          <w:sz w:val="20"/>
          <w:szCs w:val="20"/>
        </w:rPr>
        <w:t xml:space="preserve"> </w:t>
      </w:r>
      <w:r w:rsidR="00393B6D" w:rsidRPr="001279ED">
        <w:rPr>
          <w:rFonts w:ascii="Times New Roman" w:hAnsi="Times New Roman" w:cs="Times New Roman"/>
          <w:sz w:val="20"/>
          <w:szCs w:val="20"/>
        </w:rPr>
        <w:t xml:space="preserve">La bile hépatique est un liquide isotonique dont la composition électrolytique ressemble à celle du plasma sanguin. La composition électrolytique de la bile vésiculaire diffère de celle de la bile hépatique, car la plupart des anions inorganiques, le chlorure et le bicarbonate, ont été éliminés par réabsorption à travers l'épithélium vésiculaire. En raison de la réabsorption de l'eau, la concentration totale en solutés de la bile passe de 3 à 4 g/dL dans la bile hépatique à 10 à 15 g/dL dans la bile vésiculaire. Les principaux composants solutés de la bile en pourcentage molaire sont </w:t>
      </w:r>
      <w:r w:rsidR="00393B6D" w:rsidRPr="001279ED">
        <w:rPr>
          <w:rFonts w:ascii="Times New Roman" w:hAnsi="Times New Roman" w:cs="Times New Roman"/>
          <w:i/>
          <w:sz w:val="20"/>
          <w:szCs w:val="20"/>
        </w:rPr>
        <w:t xml:space="preserve">les acides biliaires </w:t>
      </w:r>
      <w:r w:rsidR="00393B6D" w:rsidRPr="001279ED">
        <w:rPr>
          <w:rFonts w:ascii="Times New Roman" w:hAnsi="Times New Roman" w:cs="Times New Roman"/>
          <w:sz w:val="20"/>
          <w:szCs w:val="20"/>
        </w:rPr>
        <w:t xml:space="preserve">(80 %), </w:t>
      </w:r>
      <w:r w:rsidR="00393B6D" w:rsidRPr="001279ED">
        <w:rPr>
          <w:rFonts w:ascii="Times New Roman" w:hAnsi="Times New Roman" w:cs="Times New Roman"/>
          <w:i/>
          <w:sz w:val="20"/>
          <w:szCs w:val="20"/>
        </w:rPr>
        <w:t xml:space="preserve">la lécithine </w:t>
      </w:r>
      <w:r w:rsidR="00393B6D" w:rsidRPr="001279ED">
        <w:rPr>
          <w:rFonts w:ascii="Times New Roman" w:hAnsi="Times New Roman" w:cs="Times New Roman"/>
          <w:sz w:val="20"/>
          <w:szCs w:val="20"/>
        </w:rPr>
        <w:t xml:space="preserve">et des traces d'autres phospholipides (16 %), et </w:t>
      </w:r>
      <w:r w:rsidR="00393B6D" w:rsidRPr="001279ED">
        <w:rPr>
          <w:rFonts w:ascii="Times New Roman" w:hAnsi="Times New Roman" w:cs="Times New Roman"/>
          <w:i/>
          <w:sz w:val="20"/>
          <w:szCs w:val="20"/>
        </w:rPr>
        <w:t xml:space="preserve">le cholestérol non estérifié </w:t>
      </w:r>
      <w:r w:rsidR="00393B6D" w:rsidRPr="001279ED">
        <w:rPr>
          <w:rFonts w:ascii="Times New Roman" w:hAnsi="Times New Roman" w:cs="Times New Roman"/>
          <w:sz w:val="20"/>
          <w:szCs w:val="20"/>
        </w:rPr>
        <w:t xml:space="preserve">(4,0 %). À l'état lithogène, la valeur du cholestérol peut atteindre 8 à 10 %. Les autres constituants comprennent </w:t>
      </w:r>
      <w:r w:rsidR="00393B6D" w:rsidRPr="006F0E11">
        <w:rPr>
          <w:rFonts w:ascii="Times New Roman" w:hAnsi="Times New Roman" w:cs="Times New Roman"/>
          <w:i/>
          <w:sz w:val="20"/>
          <w:szCs w:val="20"/>
        </w:rPr>
        <w:t>la bilirubine conjuguée</w:t>
      </w:r>
      <w:r w:rsidR="00393B6D" w:rsidRPr="001279ED">
        <w:rPr>
          <w:rFonts w:ascii="Times New Roman" w:hAnsi="Times New Roman" w:cs="Times New Roman"/>
          <w:sz w:val="20"/>
          <w:szCs w:val="20"/>
        </w:rPr>
        <w:t>, les protéines (toutes les immunoglobulines, l'albumine, les métabolites des hormones et d'autres protéines métabolisées dans le foie), les électrolytes, le mucus et, souvent, les médicaments et leurs métabolites</w:t>
      </w:r>
      <w:r w:rsidR="00393B6D">
        <w:rPr>
          <w:rFonts w:ascii="Times New Roman" w:hAnsi="Times New Roman" w:cs="Times New Roman"/>
          <w:sz w:val="24"/>
          <w:szCs w:val="24"/>
        </w:rPr>
        <w:t>.</w:t>
      </w:r>
    </w:p>
    <w:p w14:paraId="257BAE9D" w14:textId="77777777" w:rsidR="00393B6D" w:rsidRPr="001279ED" w:rsidRDefault="00393B6D" w:rsidP="006F0E11">
      <w:pPr>
        <w:spacing w:line="240" w:lineRule="auto"/>
        <w:ind w:firstLine="720"/>
        <w:jc w:val="both"/>
        <w:rPr>
          <w:rFonts w:ascii="Times New Roman" w:hAnsi="Times New Roman" w:cs="Times New Roman"/>
          <w:sz w:val="20"/>
          <w:szCs w:val="20"/>
        </w:rPr>
      </w:pPr>
      <w:r w:rsidRPr="001279ED">
        <w:rPr>
          <w:rFonts w:ascii="Times New Roman" w:hAnsi="Times New Roman" w:cs="Times New Roman"/>
          <w:sz w:val="20"/>
          <w:szCs w:val="20"/>
        </w:rPr>
        <w:t>La sécrétion basale quotidienne totale de bile hépatique est de 500 à 600 ml. De nombreuses substances absorbées ou synthétisées par les hépatocytes sont sécrétées dans les canalicules biliaires. La membrane canaliculaire forme des microvillosités et est associée à des microfilaments d'actine, des microtubules et d'autres éléments contractiles. Avant leur sécrétion dans la bile, de nombreuses substances sont absorbées par les hépatocytes, tandis que d'autres, telles que les phospholipides, une partie des acides biliaires primaires et une partie du cholestérol, sont synthétisées de novo dans les hépatocytes. Trois mécanismes jouent un rôle important dans la régulation du flux biliaire : (1) le transport actif des acides biliaires des hépatocytes vers les canalicules biliaires, (2) le transport actif d'autres anions organiques et l' , (3) la sécrétion cholangiocellulaire. Ce dernier est un mécanisme médié par la sécrétine et dépendant de l'AMP cyclique qui entraîne la sécrétion d'un liquide riche en sodium et en bicarbonate dans les voies biliaires.</w:t>
      </w:r>
    </w:p>
    <w:p w14:paraId="14E68977" w14:textId="77777777" w:rsidR="00393B6D" w:rsidRPr="006F0E11" w:rsidRDefault="00393B6D" w:rsidP="006F0E11">
      <w:pPr>
        <w:spacing w:line="240" w:lineRule="auto"/>
        <w:ind w:firstLine="720"/>
        <w:jc w:val="both"/>
        <w:rPr>
          <w:rFonts w:ascii="Times New Roman" w:hAnsi="Times New Roman" w:cs="Times New Roman"/>
          <w:b/>
          <w:sz w:val="20"/>
          <w:szCs w:val="20"/>
        </w:rPr>
      </w:pPr>
      <w:r w:rsidRPr="006F0E11">
        <w:rPr>
          <w:rFonts w:ascii="Times New Roman" w:hAnsi="Times New Roman" w:cs="Times New Roman"/>
          <w:i/>
          <w:sz w:val="20"/>
          <w:szCs w:val="20"/>
        </w:rPr>
        <w:t>Les acides</w:t>
      </w:r>
      <w:r w:rsidR="001279ED" w:rsidRPr="006F0E11">
        <w:rPr>
          <w:rFonts w:ascii="Times New Roman" w:hAnsi="Times New Roman" w:cs="Times New Roman"/>
          <w:i/>
          <w:sz w:val="20"/>
          <w:szCs w:val="20"/>
        </w:rPr>
        <w:t xml:space="preserve"> biliaires</w:t>
      </w:r>
      <w:r w:rsidR="006F0E11" w:rsidRPr="006F0E11">
        <w:rPr>
          <w:rFonts w:ascii="Times New Roman" w:hAnsi="Times New Roman" w:cs="Times New Roman"/>
          <w:i/>
          <w:sz w:val="20"/>
          <w:szCs w:val="20"/>
        </w:rPr>
        <w:t xml:space="preserve">. </w:t>
      </w:r>
      <w:r w:rsidRPr="001279ED">
        <w:rPr>
          <w:rFonts w:ascii="Times New Roman" w:hAnsi="Times New Roman" w:cs="Times New Roman"/>
          <w:sz w:val="20"/>
          <w:szCs w:val="20"/>
        </w:rPr>
        <w:t xml:space="preserve">Les acides biliaires primaires, </w:t>
      </w:r>
      <w:r w:rsidRPr="001279ED">
        <w:rPr>
          <w:rFonts w:ascii="Times New Roman" w:hAnsi="Times New Roman" w:cs="Times New Roman"/>
          <w:i/>
          <w:sz w:val="20"/>
          <w:szCs w:val="20"/>
        </w:rPr>
        <w:t xml:space="preserve">l'acide cholique </w:t>
      </w:r>
      <w:r w:rsidRPr="001279ED">
        <w:rPr>
          <w:rFonts w:ascii="Times New Roman" w:hAnsi="Times New Roman" w:cs="Times New Roman"/>
          <w:sz w:val="20"/>
          <w:szCs w:val="20"/>
        </w:rPr>
        <w:t xml:space="preserve">et </w:t>
      </w:r>
      <w:r w:rsidRPr="001279ED">
        <w:rPr>
          <w:rFonts w:ascii="Times New Roman" w:hAnsi="Times New Roman" w:cs="Times New Roman"/>
          <w:i/>
          <w:sz w:val="20"/>
          <w:szCs w:val="20"/>
        </w:rPr>
        <w:t xml:space="preserve">l'acide chénodésoxycholique </w:t>
      </w:r>
      <w:r w:rsidRPr="001279ED">
        <w:rPr>
          <w:rFonts w:ascii="Times New Roman" w:hAnsi="Times New Roman" w:cs="Times New Roman"/>
          <w:sz w:val="20"/>
          <w:szCs w:val="20"/>
        </w:rPr>
        <w:t xml:space="preserve">(CDCA), sont synthétisés à partir du cholestérol dans le foie, conjugués à la glycine ou à la taurine, puis sécrétés dans la bile. Les acides biliaires secondaires, notamment </w:t>
      </w:r>
      <w:r w:rsidRPr="001279ED">
        <w:rPr>
          <w:rFonts w:ascii="Times New Roman" w:hAnsi="Times New Roman" w:cs="Times New Roman"/>
          <w:i/>
          <w:sz w:val="20"/>
          <w:szCs w:val="20"/>
        </w:rPr>
        <w:t xml:space="preserve">le désoxycholate </w:t>
      </w:r>
      <w:r w:rsidRPr="001279ED">
        <w:rPr>
          <w:rFonts w:ascii="Times New Roman" w:hAnsi="Times New Roman" w:cs="Times New Roman"/>
          <w:sz w:val="20"/>
          <w:szCs w:val="20"/>
        </w:rPr>
        <w:t xml:space="preserve">et </w:t>
      </w:r>
      <w:r w:rsidRPr="001279ED">
        <w:rPr>
          <w:rFonts w:ascii="Times New Roman" w:hAnsi="Times New Roman" w:cs="Times New Roman"/>
          <w:i/>
          <w:sz w:val="20"/>
          <w:szCs w:val="20"/>
        </w:rPr>
        <w:t xml:space="preserve">le lithocholate, </w:t>
      </w:r>
      <w:r w:rsidRPr="001279ED">
        <w:rPr>
          <w:rFonts w:ascii="Times New Roman" w:hAnsi="Times New Roman" w:cs="Times New Roman"/>
          <w:sz w:val="20"/>
          <w:szCs w:val="20"/>
        </w:rPr>
        <w:t xml:space="preserve">sont formés dans le côlon en tant que métabolites bactériens des acides biliaires primaires. Cependant, l'acide lithocholique est beaucoup moins bien absorbé par le côlon que l'acide désoxycholique. Un autre acide biliaire secondaire, présent en faible concentration, est </w:t>
      </w:r>
      <w:r w:rsidRPr="001279ED">
        <w:rPr>
          <w:rFonts w:ascii="Times New Roman" w:hAnsi="Times New Roman" w:cs="Times New Roman"/>
          <w:i/>
          <w:sz w:val="20"/>
          <w:szCs w:val="20"/>
        </w:rPr>
        <w:t xml:space="preserve">l'acide ursodésoxycholique </w:t>
      </w:r>
      <w:r w:rsidRPr="001279ED">
        <w:rPr>
          <w:rFonts w:ascii="Times New Roman" w:hAnsi="Times New Roman" w:cs="Times New Roman"/>
          <w:sz w:val="20"/>
          <w:szCs w:val="20"/>
        </w:rPr>
        <w:t xml:space="preserve">(UDCA), un stéréoisomère du CDCA. Chez les sujets sains, le rapport entre les conjugués glycine et taurine dans la bile est de 3:1. Les acides biliaires sont des molécules de type détergent qui, dans des solutions aqueuses et au-dessus d'une concentration critique d'environ 2 mM, forment des agrégats moléculaires appelés </w:t>
      </w:r>
      <w:r w:rsidRPr="001279ED">
        <w:rPr>
          <w:rFonts w:ascii="Times New Roman" w:hAnsi="Times New Roman" w:cs="Times New Roman"/>
          <w:i/>
          <w:sz w:val="20"/>
          <w:szCs w:val="20"/>
        </w:rPr>
        <w:t>micelles</w:t>
      </w:r>
      <w:r w:rsidRPr="001279ED">
        <w:rPr>
          <w:rFonts w:ascii="Times New Roman" w:hAnsi="Times New Roman" w:cs="Times New Roman"/>
          <w:sz w:val="20"/>
          <w:szCs w:val="20"/>
        </w:rPr>
        <w:t>. Le cholestérol seul est peu soluble dans les milieux aqueux, et sa solubilité dans la bile dépend à la fois de la concentration lipidique totale et des pourcentages molaires relatifs des acides biliaires et de la lécithine. Des rapports normaux entre ces constituants favorisent la formation de micelles mixtes solubilisantes, tandis que des rapports anormaux favorisent la précipitation de cristaux de cholestérol dans la bile via une phase intermédiaire de cristaux liquides.</w:t>
      </w:r>
      <w:r w:rsidR="00F7403C">
        <w:rPr>
          <w:rFonts w:ascii="Times New Roman" w:hAnsi="Times New Roman" w:cs="Times New Roman"/>
          <w:sz w:val="20"/>
          <w:szCs w:val="20"/>
        </w:rPr>
        <w:t xml:space="preserve"> </w:t>
      </w:r>
      <w:r w:rsidRPr="001279ED">
        <w:rPr>
          <w:rFonts w:ascii="Times New Roman" w:hAnsi="Times New Roman" w:cs="Times New Roman"/>
          <w:sz w:val="20"/>
          <w:szCs w:val="20"/>
        </w:rPr>
        <w:t xml:space="preserve">En plus de faciliter l'excrétion biliaire du cholestérol, les acides biliaires facilitent l'absorption intestinale normale des graisses alimentaires, principalement le cholestérol et les vitamines liposolubles, via un </w:t>
      </w:r>
      <w:r w:rsidR="001279ED" w:rsidRPr="001279ED">
        <w:rPr>
          <w:rFonts w:ascii="Times New Roman" w:hAnsi="Times New Roman" w:cs="Times New Roman"/>
          <w:sz w:val="20"/>
          <w:szCs w:val="20"/>
        </w:rPr>
        <w:t xml:space="preserve">mécanisme de transport </w:t>
      </w:r>
      <w:r w:rsidRPr="001279ED">
        <w:rPr>
          <w:rFonts w:ascii="Times New Roman" w:hAnsi="Times New Roman" w:cs="Times New Roman"/>
          <w:sz w:val="20"/>
          <w:szCs w:val="20"/>
        </w:rPr>
        <w:t>micellaire. Les acides biliaires constituent également un moteur physiologique majeur du flux biliaire hépatique et facilitent le transport de l'eau et des électrolytes dans l'intestin grêle et le côlon.</w:t>
      </w:r>
    </w:p>
    <w:p w14:paraId="6B345832" w14:textId="77777777" w:rsidR="00393B6D" w:rsidRPr="00F7403C" w:rsidRDefault="00393B6D" w:rsidP="006F0E11">
      <w:pPr>
        <w:spacing w:line="240" w:lineRule="auto"/>
        <w:ind w:firstLine="720"/>
        <w:jc w:val="both"/>
        <w:rPr>
          <w:rFonts w:ascii="Times New Roman" w:hAnsi="Times New Roman" w:cs="Times New Roman"/>
          <w:b/>
          <w:sz w:val="20"/>
          <w:szCs w:val="20"/>
        </w:rPr>
      </w:pPr>
      <w:r w:rsidRPr="006F0E11">
        <w:rPr>
          <w:rFonts w:ascii="Times New Roman" w:hAnsi="Times New Roman" w:cs="Times New Roman"/>
          <w:i/>
          <w:sz w:val="20"/>
          <w:szCs w:val="20"/>
        </w:rPr>
        <w:t>Circulation</w:t>
      </w:r>
      <w:r w:rsidR="00F7403C" w:rsidRPr="006F0E11">
        <w:rPr>
          <w:rFonts w:ascii="Times New Roman" w:hAnsi="Times New Roman" w:cs="Times New Roman"/>
          <w:i/>
          <w:sz w:val="20"/>
          <w:szCs w:val="20"/>
        </w:rPr>
        <w:t xml:space="preserve"> entéro-hépatique</w:t>
      </w:r>
      <w:r w:rsidR="00F7403C" w:rsidRPr="006F0E11">
        <w:rPr>
          <w:rFonts w:ascii="Times New Roman" w:hAnsi="Times New Roman" w:cs="Times New Roman"/>
          <w:sz w:val="20"/>
          <w:szCs w:val="20"/>
        </w:rPr>
        <w:t xml:space="preserve">. </w:t>
      </w:r>
      <w:r w:rsidRPr="00F7403C">
        <w:rPr>
          <w:rFonts w:ascii="Times New Roman" w:hAnsi="Times New Roman" w:cs="Times New Roman"/>
          <w:sz w:val="20"/>
          <w:szCs w:val="20"/>
        </w:rPr>
        <w:t xml:space="preserve">Les acides biliaires sont efficacement conservés dans des conditions normales. Les acides biliaires non conjugués, et dans une moindre mesure les acides biliaires conjugués, sont absorbés par diffusion passive le long de l'intestin. Cependant, le mécanisme de transport actif des acides biliaires conjugués </w:t>
      </w:r>
      <w:r w:rsidR="00F7403C" w:rsidRPr="00F7403C">
        <w:rPr>
          <w:rFonts w:ascii="Times New Roman" w:hAnsi="Times New Roman" w:cs="Times New Roman"/>
          <w:sz w:val="20"/>
          <w:szCs w:val="20"/>
        </w:rPr>
        <w:t xml:space="preserve">dans l'iléon distal </w:t>
      </w:r>
      <w:r w:rsidRPr="00F7403C">
        <w:rPr>
          <w:rFonts w:ascii="Times New Roman" w:hAnsi="Times New Roman" w:cs="Times New Roman"/>
          <w:sz w:val="20"/>
          <w:szCs w:val="20"/>
        </w:rPr>
        <w:t xml:space="preserve">est beaucoup plus important sur le plan quantitatif pour la recirculation des sels biliaires. </w:t>
      </w:r>
      <w:r w:rsidR="00F7403C" w:rsidRPr="00E22508">
        <w:rPr>
          <w:rFonts w:ascii="Times New Roman" w:hAnsi="Times New Roman" w:cs="Times New Roman"/>
          <w:sz w:val="20"/>
          <w:szCs w:val="20"/>
        </w:rPr>
        <w:t>Les sels biliaires conjugués sont réabsorbés à partir de l'iléon terminal par le transporteur symport Na</w:t>
      </w:r>
      <w:r w:rsidR="00F7403C" w:rsidRPr="00E35CF7">
        <w:rPr>
          <w:rFonts w:ascii="Times New Roman" w:hAnsi="Times New Roman" w:cs="Times New Roman"/>
          <w:sz w:val="20"/>
          <w:szCs w:val="20"/>
          <w:vertAlign w:val="superscript"/>
        </w:rPr>
        <w:t>+</w:t>
      </w:r>
      <w:r w:rsidR="00F7403C" w:rsidRPr="00E35CF7">
        <w:rPr>
          <w:rFonts w:ascii="Times New Roman" w:hAnsi="Times New Roman" w:cs="Times New Roman"/>
          <w:i/>
          <w:sz w:val="20"/>
          <w:szCs w:val="20"/>
        </w:rPr>
        <w:t xml:space="preserve">ISBT </w:t>
      </w:r>
      <w:r w:rsidR="00F7403C" w:rsidRPr="00E22508">
        <w:rPr>
          <w:rFonts w:ascii="Times New Roman" w:hAnsi="Times New Roman" w:cs="Times New Roman"/>
          <w:sz w:val="20"/>
          <w:szCs w:val="20"/>
        </w:rPr>
        <w:t xml:space="preserve">(= </w:t>
      </w:r>
      <w:r w:rsidR="00F7403C" w:rsidRPr="00E35CF7">
        <w:rPr>
          <w:rFonts w:ascii="Times New Roman" w:hAnsi="Times New Roman" w:cs="Times New Roman"/>
          <w:i/>
          <w:sz w:val="20"/>
          <w:szCs w:val="20"/>
        </w:rPr>
        <w:t>cotransporteur iléal de sodium et d'acides biliaires</w:t>
      </w:r>
      <w:r w:rsidR="00F7403C" w:rsidRPr="00E22508">
        <w:rPr>
          <w:rFonts w:ascii="Times New Roman" w:hAnsi="Times New Roman" w:cs="Times New Roman"/>
          <w:sz w:val="20"/>
          <w:szCs w:val="20"/>
        </w:rPr>
        <w:t>)</w:t>
      </w:r>
      <w:r w:rsidR="00F7403C">
        <w:rPr>
          <w:rFonts w:ascii="Times New Roman" w:hAnsi="Times New Roman" w:cs="Times New Roman"/>
          <w:sz w:val="20"/>
          <w:szCs w:val="20"/>
        </w:rPr>
        <w:t>.</w:t>
      </w:r>
      <w:r w:rsidR="00F7403C" w:rsidRPr="00E22508">
        <w:rPr>
          <w:rFonts w:ascii="Times New Roman" w:hAnsi="Times New Roman" w:cs="Times New Roman"/>
          <w:sz w:val="20"/>
          <w:szCs w:val="20"/>
        </w:rPr>
        <w:t xml:space="preserve"> </w:t>
      </w:r>
      <w:r w:rsidRPr="00F7403C">
        <w:rPr>
          <w:rFonts w:ascii="Times New Roman" w:hAnsi="Times New Roman" w:cs="Times New Roman"/>
          <w:sz w:val="20"/>
          <w:szCs w:val="20"/>
        </w:rPr>
        <w:t>Les acides biliaires réabsorbés pénètrent dans la circulation sanguine portale et sont rapidement absorbés par les hépatocytes, reconjugués et resécrétés dans la bile (circulation entéro-hépatique). La taille normale du pool d'acides biliaires est d'environ 2 à 4 g. Pendant la digestion d'un repas, le pool d'acides biliaires subit au moins un ou plusieurs cycles entéro-hépatiques, en fonction de la taille et de la composition du repas. Normalement, le pool d'acides biliaires circule 5 à 10 fois par jour. L'absorption intestinale du pool est efficace à environ 95 % ; par conséquent, la perte fécale d'acides biliaires est de l'ordre de 0,2 à 0,4 g/j. À l'état d'équilibre, cette perte fécale est compensée par une synthèse quotidienne équivalente d'acides biliaires par le foie, ce qui permet de maintenir la taille du pool d'acides biliaires. Les acides biliaires qui retournent au foie suppriment la synthèse hépatique de novo des acides biliaires primaires à partir du cholestérol en inhibant l'enzyme limitante, la cholestérol 7-hydroxylase. Bien que la perte de sels biliaires dans les selles soit généralement compensée par une augmentation de la synthèse hépatique, le taux maximal de synthèse est de 5 g/jour, ce qui peut être insuffisant pour reconstituer la taille du pool d'acides biliaires en cas de perturbation prononcée de la réabsorption intestinale des sels biliaires.</w:t>
      </w:r>
    </w:p>
    <w:p w14:paraId="52285852" w14:textId="77777777" w:rsidR="005D364D" w:rsidRPr="00E22508" w:rsidRDefault="005D364D" w:rsidP="006F0E11">
      <w:pPr>
        <w:autoSpaceDE w:val="0"/>
        <w:autoSpaceDN w:val="0"/>
        <w:adjustRightInd w:val="0"/>
        <w:spacing w:after="0" w:line="240" w:lineRule="auto"/>
        <w:ind w:firstLine="720"/>
        <w:jc w:val="both"/>
        <w:rPr>
          <w:rFonts w:ascii="Times New Roman" w:hAnsi="Times New Roman" w:cs="Times New Roman"/>
          <w:sz w:val="20"/>
          <w:szCs w:val="20"/>
        </w:rPr>
      </w:pPr>
      <w:r w:rsidRPr="00E35CF7">
        <w:rPr>
          <w:rFonts w:ascii="Times New Roman" w:hAnsi="Times New Roman" w:cs="Times New Roman"/>
          <w:bCs/>
          <w:i/>
          <w:sz w:val="20"/>
          <w:szCs w:val="20"/>
        </w:rPr>
        <w:t xml:space="preserve">Vésicule </w:t>
      </w:r>
      <w:r w:rsidRPr="00E22508">
        <w:rPr>
          <w:rFonts w:ascii="Times New Roman" w:hAnsi="Times New Roman" w:cs="Times New Roman"/>
          <w:sz w:val="20"/>
          <w:szCs w:val="20"/>
        </w:rPr>
        <w:t>biliaire</w:t>
      </w:r>
      <w:r w:rsidRPr="00E35CF7">
        <w:rPr>
          <w:rFonts w:ascii="Times New Roman" w:hAnsi="Times New Roman" w:cs="Times New Roman"/>
          <w:i/>
          <w:sz w:val="20"/>
          <w:szCs w:val="20"/>
        </w:rPr>
        <w:t xml:space="preserve">. </w:t>
      </w:r>
      <w:r w:rsidRPr="00E22508">
        <w:rPr>
          <w:rFonts w:ascii="Times New Roman" w:hAnsi="Times New Roman" w:cs="Times New Roman"/>
          <w:sz w:val="20"/>
          <w:szCs w:val="20"/>
        </w:rPr>
        <w:t xml:space="preserve">Lorsque le sphincter d'Oddi situé entre le canal cholédoque et le duodénum est fermé, </w:t>
      </w:r>
      <w:r w:rsidRPr="00E22508">
        <w:rPr>
          <w:rFonts w:ascii="Times New Roman" w:hAnsi="Times New Roman" w:cs="Times New Roman"/>
          <w:i/>
          <w:iCs/>
          <w:sz w:val="20"/>
          <w:szCs w:val="20"/>
        </w:rPr>
        <w:t xml:space="preserve">la bile hépatique </w:t>
      </w:r>
      <w:r w:rsidRPr="00E22508">
        <w:rPr>
          <w:rFonts w:ascii="Times New Roman" w:hAnsi="Times New Roman" w:cs="Times New Roman"/>
          <w:sz w:val="20"/>
          <w:szCs w:val="20"/>
        </w:rPr>
        <w:t>(</w:t>
      </w:r>
      <w:r w:rsidRPr="00E22508">
        <w:rPr>
          <w:rFonts w:ascii="Times New Roman" w:hAnsi="Times New Roman" w:cs="Times New Roman"/>
          <w:i/>
          <w:iCs/>
          <w:sz w:val="20"/>
          <w:szCs w:val="20"/>
        </w:rPr>
        <w:t>bile C</w:t>
      </w:r>
      <w:r w:rsidRPr="00E22508">
        <w:rPr>
          <w:rFonts w:ascii="Times New Roman" w:hAnsi="Times New Roman" w:cs="Times New Roman"/>
          <w:sz w:val="20"/>
          <w:szCs w:val="20"/>
        </w:rPr>
        <w:t>) est détournée vers la vésicule biliaire, où elle est concentrée (1</w:t>
      </w:r>
      <w:r>
        <w:rPr>
          <w:rFonts w:ascii="Times New Roman" w:hAnsi="Times New Roman" w:cs="Times New Roman"/>
          <w:sz w:val="20"/>
          <w:szCs w:val="20"/>
        </w:rPr>
        <w:t>:</w:t>
      </w:r>
      <w:r w:rsidRPr="00E22508">
        <w:rPr>
          <w:rFonts w:ascii="Times New Roman" w:hAnsi="Times New Roman" w:cs="Times New Roman"/>
          <w:sz w:val="20"/>
          <w:szCs w:val="20"/>
        </w:rPr>
        <w:t xml:space="preserve">10) et stockée. L'épithélium de la vésicule biliaire réabsorbe le Na+, le Cl– et l'eau de la bile stockée, augmentant ainsi considérablement la concentration de certains composants de la bile (sels biliaires, bilirubine-diglucuronide, cholestérol, phosphatidylcholine, etc.). Si la bile est utilisée pour la digestion des graisses (ou si une onde péristaltique se produit pendant la </w:t>
      </w:r>
      <w:r>
        <w:rPr>
          <w:rFonts w:ascii="Times New Roman" w:hAnsi="Times New Roman" w:cs="Times New Roman"/>
          <w:sz w:val="20"/>
          <w:szCs w:val="20"/>
        </w:rPr>
        <w:t>phase interdigestive</w:t>
      </w:r>
      <w:r w:rsidRPr="00E22508">
        <w:rPr>
          <w:rFonts w:ascii="Times New Roman" w:hAnsi="Times New Roman" w:cs="Times New Roman"/>
          <w:sz w:val="20"/>
          <w:szCs w:val="20"/>
        </w:rPr>
        <w:t xml:space="preserve">), la vésicule biliaire se contracte et son contenu est mélangé par portions au chyme duodénal. </w:t>
      </w:r>
      <w:r w:rsidRPr="00E35CF7">
        <w:rPr>
          <w:rFonts w:ascii="Times New Roman" w:hAnsi="Times New Roman" w:cs="Times New Roman"/>
          <w:bCs/>
          <w:sz w:val="20"/>
          <w:szCs w:val="20"/>
        </w:rPr>
        <w:t xml:space="preserve">Le cholestérol </w:t>
      </w:r>
      <w:r w:rsidRPr="00E22508">
        <w:rPr>
          <w:rFonts w:ascii="Times New Roman" w:hAnsi="Times New Roman" w:cs="Times New Roman"/>
          <w:sz w:val="20"/>
          <w:szCs w:val="20"/>
        </w:rPr>
        <w:t xml:space="preserve">présent dans la bile est transporté à l'intérieur </w:t>
      </w:r>
      <w:r w:rsidRPr="00455308">
        <w:rPr>
          <w:rFonts w:ascii="Times New Roman" w:hAnsi="Times New Roman" w:cs="Times New Roman"/>
          <w:iCs/>
          <w:sz w:val="20"/>
          <w:szCs w:val="20"/>
        </w:rPr>
        <w:t xml:space="preserve">de micelles </w:t>
      </w:r>
      <w:r w:rsidRPr="00E22508">
        <w:rPr>
          <w:rFonts w:ascii="Times New Roman" w:hAnsi="Times New Roman" w:cs="Times New Roman"/>
          <w:sz w:val="20"/>
          <w:szCs w:val="20"/>
        </w:rPr>
        <w:t xml:space="preserve">formées par l'agrégation du cholestérol avec la lécithine et les sels biliaires. Une modification du rapport entre ces trois substances en faveur du cholestérol entraîne la précipitation de cristaux de cholestérol responsables du développement de calculs biliaires dans la </w:t>
      </w:r>
      <w:r w:rsidRPr="00E35CF7">
        <w:rPr>
          <w:rFonts w:ascii="Times New Roman" w:hAnsi="Times New Roman" w:cs="Times New Roman"/>
          <w:iCs/>
          <w:sz w:val="20"/>
          <w:szCs w:val="20"/>
        </w:rPr>
        <w:t xml:space="preserve">bile </w:t>
      </w:r>
      <w:r w:rsidRPr="00E22508">
        <w:rPr>
          <w:rFonts w:ascii="Times New Roman" w:hAnsi="Times New Roman" w:cs="Times New Roman"/>
          <w:sz w:val="20"/>
          <w:szCs w:val="20"/>
        </w:rPr>
        <w:t xml:space="preserve">hautement concentrée </w:t>
      </w:r>
      <w:r w:rsidRPr="00E35CF7">
        <w:rPr>
          <w:rFonts w:ascii="Times New Roman" w:hAnsi="Times New Roman" w:cs="Times New Roman"/>
          <w:iCs/>
          <w:sz w:val="20"/>
          <w:szCs w:val="20"/>
        </w:rPr>
        <w:t xml:space="preserve">de la vésicule biliaire </w:t>
      </w:r>
      <w:r w:rsidRPr="00E35CF7">
        <w:rPr>
          <w:rFonts w:ascii="Times New Roman" w:hAnsi="Times New Roman" w:cs="Times New Roman"/>
          <w:sz w:val="20"/>
          <w:szCs w:val="20"/>
        </w:rPr>
        <w:t>(</w:t>
      </w:r>
      <w:r w:rsidRPr="00E35CF7">
        <w:rPr>
          <w:rFonts w:ascii="Times New Roman" w:hAnsi="Times New Roman" w:cs="Times New Roman"/>
          <w:iCs/>
          <w:sz w:val="20"/>
          <w:szCs w:val="20"/>
        </w:rPr>
        <w:t>bile B</w:t>
      </w:r>
      <w:r w:rsidRPr="00E35CF7">
        <w:rPr>
          <w:rFonts w:ascii="Times New Roman" w:hAnsi="Times New Roman" w:cs="Times New Roman"/>
          <w:sz w:val="20"/>
          <w:szCs w:val="20"/>
        </w:rPr>
        <w:t xml:space="preserve">). </w:t>
      </w:r>
      <w:r w:rsidRPr="00E35CF7">
        <w:rPr>
          <w:rFonts w:ascii="Times New Roman" w:hAnsi="Times New Roman" w:cs="Times New Roman"/>
          <w:bCs/>
          <w:sz w:val="20"/>
          <w:szCs w:val="20"/>
        </w:rPr>
        <w:t xml:space="preserve">La contraction de la vésicule biliaire </w:t>
      </w:r>
      <w:r w:rsidRPr="00E35CF7">
        <w:rPr>
          <w:rFonts w:ascii="Times New Roman" w:hAnsi="Times New Roman" w:cs="Times New Roman"/>
          <w:sz w:val="20"/>
          <w:szCs w:val="20"/>
        </w:rPr>
        <w:t xml:space="preserve">est </w:t>
      </w:r>
      <w:r w:rsidRPr="00E35CF7">
        <w:rPr>
          <w:rFonts w:ascii="Times New Roman" w:hAnsi="Times New Roman" w:cs="Times New Roman"/>
          <w:iCs/>
          <w:sz w:val="20"/>
          <w:szCs w:val="20"/>
        </w:rPr>
        <w:t xml:space="preserve">déclenchée </w:t>
      </w:r>
      <w:r w:rsidRPr="00E35CF7">
        <w:rPr>
          <w:rFonts w:ascii="Times New Roman" w:hAnsi="Times New Roman" w:cs="Times New Roman"/>
          <w:sz w:val="20"/>
          <w:szCs w:val="20"/>
        </w:rPr>
        <w:t>par la CCK, qui se lie aux récepteurs CCKA, et le plexus neuronal de la paroi de la vésicule biliaire</w:t>
      </w:r>
      <w:r w:rsidRPr="00E22508">
        <w:rPr>
          <w:rFonts w:ascii="Times New Roman" w:hAnsi="Times New Roman" w:cs="Times New Roman"/>
          <w:sz w:val="20"/>
          <w:szCs w:val="20"/>
        </w:rPr>
        <w:t xml:space="preserve">, qui est innervé par </w:t>
      </w:r>
      <w:r>
        <w:rPr>
          <w:rFonts w:ascii="Times New Roman" w:hAnsi="Times New Roman" w:cs="Times New Roman"/>
          <w:sz w:val="20"/>
          <w:szCs w:val="20"/>
        </w:rPr>
        <w:t xml:space="preserve">les fibres </w:t>
      </w:r>
      <w:r w:rsidRPr="00E22508">
        <w:rPr>
          <w:rFonts w:ascii="Times New Roman" w:hAnsi="Times New Roman" w:cs="Times New Roman"/>
          <w:sz w:val="20"/>
          <w:szCs w:val="20"/>
        </w:rPr>
        <w:t xml:space="preserve">parasympathiques préganglionnaires </w:t>
      </w:r>
      <w:r>
        <w:rPr>
          <w:rFonts w:ascii="Times New Roman" w:hAnsi="Times New Roman" w:cs="Times New Roman"/>
          <w:sz w:val="20"/>
          <w:szCs w:val="20"/>
        </w:rPr>
        <w:t>du nerf vague</w:t>
      </w:r>
      <w:r w:rsidRPr="00E22508">
        <w:rPr>
          <w:rFonts w:ascii="Times New Roman" w:hAnsi="Times New Roman" w:cs="Times New Roman"/>
          <w:sz w:val="20"/>
          <w:szCs w:val="20"/>
        </w:rPr>
        <w:t>.</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Le CGRP </w:t>
      </w:r>
      <w:r>
        <w:rPr>
          <w:rFonts w:ascii="Times New Roman" w:hAnsi="Times New Roman" w:cs="Times New Roman"/>
          <w:sz w:val="20"/>
          <w:szCs w:val="20"/>
        </w:rPr>
        <w:t xml:space="preserve">et la substance P </w:t>
      </w:r>
      <w:r w:rsidRPr="00E22508">
        <w:rPr>
          <w:rFonts w:ascii="Times New Roman" w:hAnsi="Times New Roman" w:cs="Times New Roman"/>
          <w:sz w:val="20"/>
          <w:szCs w:val="20"/>
        </w:rPr>
        <w:t xml:space="preserve">libérés par les fibres sensorielles semblent stimuler indirectement la musculature de la vésicule biliaire en augmentant la libération d'acétylcholine. Le système nerveux sympathique </w:t>
      </w:r>
      <w:r w:rsidRPr="00E35CF7">
        <w:rPr>
          <w:rFonts w:ascii="Times New Roman" w:hAnsi="Times New Roman" w:cs="Times New Roman"/>
          <w:iCs/>
          <w:sz w:val="20"/>
          <w:szCs w:val="20"/>
        </w:rPr>
        <w:t xml:space="preserve">inhibe </w:t>
      </w:r>
      <w:r w:rsidRPr="00E22508">
        <w:rPr>
          <w:rFonts w:ascii="Times New Roman" w:hAnsi="Times New Roman" w:cs="Times New Roman"/>
          <w:sz w:val="20"/>
          <w:szCs w:val="20"/>
        </w:rPr>
        <w:t xml:space="preserve">les contractions de la vésicule biliaire </w:t>
      </w:r>
      <w:r>
        <w:rPr>
          <w:rFonts w:ascii="Times New Roman" w:hAnsi="Times New Roman" w:cs="Times New Roman"/>
          <w:sz w:val="20"/>
          <w:szCs w:val="20"/>
        </w:rPr>
        <w:t xml:space="preserve">via </w:t>
      </w:r>
      <w:r w:rsidRPr="00E22508">
        <w:rPr>
          <w:rFonts w:ascii="Times New Roman" w:hAnsi="Times New Roman" w:cs="Times New Roman"/>
          <w:sz w:val="20"/>
          <w:szCs w:val="20"/>
        </w:rPr>
        <w:t xml:space="preserve">les récepteurs adrénergiques </w:t>
      </w:r>
      <w:r>
        <w:rPr>
          <w:rFonts w:ascii="Times New Roman" w:hAnsi="Times New Roman" w:cs="Times New Roman"/>
          <w:sz w:val="20"/>
          <w:szCs w:val="20"/>
        </w:rPr>
        <w:t>α</w:t>
      </w:r>
      <w:r w:rsidRPr="00455308">
        <w:rPr>
          <w:rFonts w:ascii="Times New Roman" w:hAnsi="Times New Roman" w:cs="Times New Roman"/>
          <w:sz w:val="20"/>
          <w:szCs w:val="20"/>
          <w:vertAlign w:val="subscript"/>
        </w:rPr>
        <w:t>2</w:t>
      </w:r>
      <w:r w:rsidRPr="00E22508">
        <w:rPr>
          <w:rFonts w:ascii="Times New Roman" w:hAnsi="Times New Roman" w:cs="Times New Roman"/>
          <w:sz w:val="20"/>
          <w:szCs w:val="20"/>
        </w:rPr>
        <w:t xml:space="preserve">situés sur les terminaisons des fibres cholinergiques. En tant que </w:t>
      </w:r>
      <w:r w:rsidRPr="00E22508">
        <w:rPr>
          <w:rFonts w:ascii="Times New Roman" w:hAnsi="Times New Roman" w:cs="Times New Roman"/>
          <w:i/>
          <w:iCs/>
          <w:sz w:val="20"/>
          <w:szCs w:val="20"/>
        </w:rPr>
        <w:t>cholagogues</w:t>
      </w:r>
      <w:r w:rsidRPr="00E22508">
        <w:rPr>
          <w:rFonts w:ascii="Times New Roman" w:hAnsi="Times New Roman" w:cs="Times New Roman"/>
          <w:sz w:val="20"/>
          <w:szCs w:val="20"/>
        </w:rPr>
        <w:t>, les acides gras et les produits de la digestion des protéines, ainsi que le jaune d'œuf et le MgSO</w:t>
      </w:r>
      <w:r w:rsidRPr="00455308">
        <w:rPr>
          <w:rFonts w:ascii="Times New Roman" w:hAnsi="Times New Roman" w:cs="Times New Roman"/>
          <w:sz w:val="20"/>
          <w:szCs w:val="20"/>
          <w:vertAlign w:val="subscript"/>
        </w:rPr>
        <w:t>(4),</w:t>
      </w:r>
      <w:r w:rsidRPr="00E22508">
        <w:rPr>
          <w:rFonts w:ascii="Times New Roman" w:hAnsi="Times New Roman" w:cs="Times New Roman"/>
          <w:sz w:val="20"/>
          <w:szCs w:val="20"/>
        </w:rPr>
        <w:t>stimulent efficacement la sécrétion de CCK.</w:t>
      </w:r>
    </w:p>
    <w:p w14:paraId="70D119D4" w14:textId="77777777" w:rsidR="005D364D" w:rsidRPr="0046473E" w:rsidRDefault="005D364D" w:rsidP="006F0E11">
      <w:pPr>
        <w:autoSpaceDE w:val="0"/>
        <w:autoSpaceDN w:val="0"/>
        <w:adjustRightInd w:val="0"/>
        <w:spacing w:after="0" w:line="240" w:lineRule="auto"/>
        <w:ind w:firstLine="720"/>
        <w:jc w:val="both"/>
        <w:rPr>
          <w:rFonts w:ascii="Times New Roman" w:hAnsi="Times New Roman" w:cs="Times New Roman"/>
          <w:b/>
          <w:bCs/>
          <w:sz w:val="20"/>
          <w:szCs w:val="20"/>
        </w:rPr>
      </w:pPr>
      <w:r w:rsidRPr="00455308">
        <w:rPr>
          <w:rFonts w:ascii="Times New Roman" w:hAnsi="Times New Roman" w:cs="Times New Roman"/>
          <w:bCs/>
          <w:i/>
          <w:sz w:val="20"/>
          <w:szCs w:val="20"/>
        </w:rPr>
        <w:t>Fonction excrétrice du foie</w:t>
      </w:r>
      <w:r w:rsidR="006A2335">
        <w:rPr>
          <w:rFonts w:ascii="Times New Roman" w:hAnsi="Times New Roman" w:cs="Times New Roman"/>
          <w:bCs/>
          <w:i/>
          <w:sz w:val="20"/>
          <w:szCs w:val="20"/>
        </w:rPr>
        <w:t>.</w:t>
      </w:r>
      <w:r w:rsidRPr="00455308">
        <w:rPr>
          <w:rFonts w:ascii="Times New Roman" w:hAnsi="Times New Roman" w:cs="Times New Roman"/>
          <w:bCs/>
          <w:i/>
          <w:sz w:val="20"/>
          <w:szCs w:val="20"/>
        </w:rPr>
        <w:t xml:space="preserve"> </w:t>
      </w:r>
      <w:r w:rsidRPr="00455308">
        <w:rPr>
          <w:rFonts w:ascii="Times New Roman" w:hAnsi="Times New Roman" w:cs="Times New Roman"/>
          <w:sz w:val="20"/>
          <w:szCs w:val="20"/>
        </w:rPr>
        <w:t xml:space="preserve">Le </w:t>
      </w:r>
      <w:r w:rsidRPr="00455308">
        <w:rPr>
          <w:rFonts w:ascii="Times New Roman" w:hAnsi="Times New Roman" w:cs="Times New Roman"/>
          <w:bCs/>
          <w:sz w:val="20"/>
          <w:szCs w:val="20"/>
        </w:rPr>
        <w:t xml:space="preserve">foie détoxifie </w:t>
      </w:r>
      <w:r w:rsidRPr="00455308">
        <w:rPr>
          <w:rFonts w:ascii="Times New Roman" w:hAnsi="Times New Roman" w:cs="Times New Roman"/>
          <w:sz w:val="20"/>
          <w:szCs w:val="20"/>
        </w:rPr>
        <w:t xml:space="preserve">et </w:t>
      </w:r>
      <w:r w:rsidRPr="00455308">
        <w:rPr>
          <w:rFonts w:ascii="Times New Roman" w:hAnsi="Times New Roman" w:cs="Times New Roman"/>
          <w:bCs/>
          <w:sz w:val="20"/>
          <w:szCs w:val="20"/>
        </w:rPr>
        <w:t xml:space="preserve">excrète </w:t>
      </w:r>
      <w:r w:rsidRPr="00455308">
        <w:rPr>
          <w:rFonts w:ascii="Times New Roman" w:hAnsi="Times New Roman" w:cs="Times New Roman"/>
          <w:sz w:val="20"/>
          <w:szCs w:val="20"/>
        </w:rPr>
        <w:t xml:space="preserve">de nombreuses substances principalement lipophiles, qui sont soit </w:t>
      </w:r>
      <w:r w:rsidR="006A2335">
        <w:rPr>
          <w:rFonts w:ascii="Times New Roman" w:hAnsi="Times New Roman" w:cs="Times New Roman"/>
          <w:sz w:val="20"/>
          <w:szCs w:val="20"/>
        </w:rPr>
        <w:t>générées pendant le métabolisme (</w:t>
      </w:r>
      <w:r w:rsidRPr="00455308">
        <w:rPr>
          <w:rFonts w:ascii="Times New Roman" w:hAnsi="Times New Roman" w:cs="Times New Roman"/>
          <w:sz w:val="20"/>
          <w:szCs w:val="20"/>
        </w:rPr>
        <w:t>bilirubine ou hormones stéroïdes</w:t>
      </w:r>
      <w:r w:rsidRPr="00E22508">
        <w:rPr>
          <w:rFonts w:ascii="Times New Roman" w:hAnsi="Times New Roman" w:cs="Times New Roman"/>
          <w:sz w:val="20"/>
          <w:szCs w:val="20"/>
        </w:rPr>
        <w:t xml:space="preserve">), soit provenant du </w:t>
      </w:r>
      <w:r w:rsidR="006A2335">
        <w:rPr>
          <w:rFonts w:ascii="Times New Roman" w:hAnsi="Times New Roman" w:cs="Times New Roman"/>
          <w:sz w:val="20"/>
          <w:szCs w:val="20"/>
        </w:rPr>
        <w:t xml:space="preserve">tractus </w:t>
      </w:r>
      <w:r w:rsidRPr="00E22508">
        <w:rPr>
          <w:rFonts w:ascii="Times New Roman" w:hAnsi="Times New Roman" w:cs="Times New Roman"/>
          <w:sz w:val="20"/>
          <w:szCs w:val="20"/>
        </w:rPr>
        <w:t xml:space="preserve">intestinal </w:t>
      </w:r>
      <w:r w:rsidR="006A2335">
        <w:rPr>
          <w:rFonts w:ascii="Times New Roman" w:hAnsi="Times New Roman" w:cs="Times New Roman"/>
          <w:sz w:val="20"/>
          <w:szCs w:val="20"/>
        </w:rPr>
        <w:t>(</w:t>
      </w:r>
      <w:r w:rsidRPr="00E22508">
        <w:rPr>
          <w:rFonts w:ascii="Times New Roman" w:hAnsi="Times New Roman" w:cs="Times New Roman"/>
          <w:sz w:val="20"/>
          <w:szCs w:val="20"/>
        </w:rPr>
        <w:t xml:space="preserve">l'antibiotique chloramphénicol). Cependant, cela nécessite </w:t>
      </w:r>
      <w:r w:rsidRPr="00455308">
        <w:rPr>
          <w:rFonts w:ascii="Times New Roman" w:hAnsi="Times New Roman" w:cs="Times New Roman"/>
          <w:bCs/>
          <w:sz w:val="20"/>
          <w:szCs w:val="20"/>
        </w:rPr>
        <w:t>une biotransformation</w:t>
      </w:r>
      <w:r w:rsidRPr="00E22508">
        <w:rPr>
          <w:rFonts w:ascii="Times New Roman" w:hAnsi="Times New Roman" w:cs="Times New Roman"/>
          <w:sz w:val="20"/>
          <w:szCs w:val="20"/>
        </w:rPr>
        <w:t xml:space="preserve"> préalable </w:t>
      </w:r>
      <w:r w:rsidRPr="00455308">
        <w:rPr>
          <w:rFonts w:ascii="Times New Roman" w:hAnsi="Times New Roman" w:cs="Times New Roman"/>
          <w:sz w:val="20"/>
          <w:szCs w:val="20"/>
        </w:rPr>
        <w:t xml:space="preserve">des substances. Dans la </w:t>
      </w:r>
      <w:r w:rsidRPr="00455308">
        <w:rPr>
          <w:rFonts w:ascii="Times New Roman" w:hAnsi="Times New Roman" w:cs="Times New Roman"/>
          <w:iCs/>
          <w:sz w:val="20"/>
          <w:szCs w:val="20"/>
        </w:rPr>
        <w:t xml:space="preserve">première étape </w:t>
      </w:r>
      <w:r w:rsidRPr="00455308">
        <w:rPr>
          <w:rFonts w:ascii="Times New Roman" w:hAnsi="Times New Roman" w:cs="Times New Roman"/>
          <w:sz w:val="20"/>
          <w:szCs w:val="20"/>
        </w:rPr>
        <w:t>du processus, des groupes réactifs OH, NH</w:t>
      </w:r>
      <w:r w:rsidRPr="00455308">
        <w:rPr>
          <w:rFonts w:ascii="Times New Roman" w:hAnsi="Times New Roman" w:cs="Times New Roman"/>
          <w:sz w:val="20"/>
          <w:szCs w:val="20"/>
          <w:vertAlign w:val="subscript"/>
        </w:rPr>
        <w:t>2</w:t>
      </w:r>
      <w:r w:rsidRPr="00455308">
        <w:rPr>
          <w:rFonts w:ascii="Times New Roman" w:hAnsi="Times New Roman" w:cs="Times New Roman"/>
          <w:sz w:val="20"/>
          <w:szCs w:val="20"/>
        </w:rPr>
        <w:t xml:space="preserve">  ou COOH sont </w:t>
      </w:r>
      <w:r w:rsidR="006A2335">
        <w:rPr>
          <w:rFonts w:ascii="Times New Roman" w:hAnsi="Times New Roman" w:cs="Times New Roman"/>
          <w:sz w:val="20"/>
          <w:szCs w:val="20"/>
        </w:rPr>
        <w:t>ajoutés par voie enzymatique (</w:t>
      </w:r>
      <w:r w:rsidRPr="00455308">
        <w:rPr>
          <w:rFonts w:ascii="Times New Roman" w:hAnsi="Times New Roman" w:cs="Times New Roman"/>
          <w:sz w:val="20"/>
          <w:szCs w:val="20"/>
        </w:rPr>
        <w:t xml:space="preserve">par </w:t>
      </w:r>
      <w:r w:rsidRPr="00E22508">
        <w:rPr>
          <w:rFonts w:ascii="Times New Roman" w:hAnsi="Times New Roman" w:cs="Times New Roman"/>
          <w:sz w:val="20"/>
          <w:szCs w:val="20"/>
        </w:rPr>
        <w:t xml:space="preserve">des monooxygénases) aux substances hydrophobes. Dans la </w:t>
      </w:r>
      <w:r w:rsidRPr="00455308">
        <w:rPr>
          <w:rFonts w:ascii="Times New Roman" w:hAnsi="Times New Roman" w:cs="Times New Roman"/>
          <w:iCs/>
          <w:sz w:val="20"/>
          <w:szCs w:val="20"/>
        </w:rPr>
        <w:t>deuxième étape</w:t>
      </w:r>
      <w:r w:rsidRPr="00E22508">
        <w:rPr>
          <w:rFonts w:ascii="Times New Roman" w:hAnsi="Times New Roman" w:cs="Times New Roman"/>
          <w:sz w:val="20"/>
          <w:szCs w:val="20"/>
        </w:rPr>
        <w:t xml:space="preserve">, les substances sont </w:t>
      </w:r>
      <w:r w:rsidRPr="00455308">
        <w:rPr>
          <w:rFonts w:ascii="Times New Roman" w:hAnsi="Times New Roman" w:cs="Times New Roman"/>
          <w:iCs/>
          <w:sz w:val="20"/>
          <w:szCs w:val="20"/>
        </w:rPr>
        <w:t xml:space="preserve">conjuguées </w:t>
      </w:r>
      <w:r w:rsidRPr="00455308">
        <w:rPr>
          <w:rFonts w:ascii="Times New Roman" w:hAnsi="Times New Roman" w:cs="Times New Roman"/>
          <w:sz w:val="20"/>
          <w:szCs w:val="20"/>
        </w:rPr>
        <w:t xml:space="preserve">à de l'acide glucuronique, de l'acétate, du glutathion, de la glycine, des sulfates, etc. Les conjugués sont alors solubles dans l'eau et peuvent soit être </w:t>
      </w:r>
      <w:r w:rsidRPr="00E22508">
        <w:rPr>
          <w:rFonts w:ascii="Times New Roman" w:hAnsi="Times New Roman" w:cs="Times New Roman"/>
          <w:sz w:val="20"/>
          <w:szCs w:val="20"/>
        </w:rPr>
        <w:t>transformés dans les reins et excrétés dans l'urine, soit être sécrétés dans la bile par les cellules hépatiques et excrétés dans les fèces. Les conjugués du glutathion, par exemple, sont transformés dans les reins et excrétés sous forme d'acides mercapturiques dans l'urine.</w:t>
      </w:r>
    </w:p>
    <w:p w14:paraId="20D8C444" w14:textId="77777777" w:rsidR="005D364D" w:rsidRDefault="005D364D" w:rsidP="006F0E11">
      <w:pPr>
        <w:autoSpaceDE w:val="0"/>
        <w:autoSpaceDN w:val="0"/>
        <w:adjustRightInd w:val="0"/>
        <w:spacing w:after="0" w:line="240" w:lineRule="auto"/>
        <w:ind w:firstLine="720"/>
        <w:jc w:val="both"/>
        <w:rPr>
          <w:rFonts w:ascii="Times New Roman" w:hAnsi="Times New Roman" w:cs="Times New Roman"/>
          <w:sz w:val="20"/>
          <w:szCs w:val="20"/>
        </w:rPr>
      </w:pPr>
      <w:r w:rsidRPr="00455308">
        <w:rPr>
          <w:rFonts w:ascii="Times New Roman" w:hAnsi="Times New Roman" w:cs="Times New Roman"/>
          <w:bCs/>
          <w:i/>
          <w:sz w:val="20"/>
          <w:szCs w:val="20"/>
        </w:rPr>
        <w:t xml:space="preserve">Transporteurs. </w:t>
      </w:r>
      <w:r w:rsidRPr="00E22508">
        <w:rPr>
          <w:rFonts w:ascii="Times New Roman" w:hAnsi="Times New Roman" w:cs="Times New Roman"/>
          <w:sz w:val="20"/>
          <w:szCs w:val="20"/>
        </w:rPr>
        <w:t xml:space="preserve">La membrane canaliculaire des hépatocytes contient divers </w:t>
      </w:r>
      <w:r>
        <w:rPr>
          <w:rFonts w:ascii="Times New Roman" w:hAnsi="Times New Roman" w:cs="Times New Roman"/>
          <w:sz w:val="20"/>
          <w:szCs w:val="20"/>
        </w:rPr>
        <w:t>transporteurs, dont la plupart sont directement alimentés par l'ATP</w:t>
      </w:r>
      <w:r w:rsidRPr="00E22508">
        <w:rPr>
          <w:rFonts w:ascii="Times New Roman" w:hAnsi="Times New Roman" w:cs="Times New Roman"/>
          <w:sz w:val="20"/>
          <w:szCs w:val="20"/>
        </w:rPr>
        <w:t xml:space="preserve">. Les principaux transporteurs sont : </w:t>
      </w:r>
      <w:r w:rsidRPr="00455308">
        <w:rPr>
          <w:rFonts w:ascii="Times New Roman" w:hAnsi="Times New Roman" w:cs="Times New Roman"/>
          <w:bCs/>
          <w:i/>
          <w:sz w:val="20"/>
          <w:szCs w:val="20"/>
        </w:rPr>
        <w:t>MDR</w:t>
      </w:r>
      <w:r w:rsidRPr="00455308">
        <w:rPr>
          <w:rFonts w:ascii="Times New Roman" w:hAnsi="Times New Roman" w:cs="Times New Roman"/>
          <w:bCs/>
          <w:i/>
          <w:sz w:val="20"/>
          <w:szCs w:val="20"/>
          <w:vertAlign w:val="subscript"/>
        </w:rPr>
        <w:t>1</w:t>
      </w:r>
      <w:r w:rsidRPr="00E22508">
        <w:rPr>
          <w:rFonts w:ascii="Times New Roman" w:hAnsi="Times New Roman" w:cs="Times New Roman"/>
          <w:sz w:val="20"/>
          <w:szCs w:val="20"/>
        </w:rPr>
        <w:t xml:space="preserve">  (protéine de résistance multidrogues 1) pour les métabolites relativement hydrophobes, principalement cationiques, </w:t>
      </w:r>
      <w:r w:rsidRPr="00455308">
        <w:rPr>
          <w:rFonts w:ascii="Times New Roman" w:hAnsi="Times New Roman" w:cs="Times New Roman"/>
          <w:bCs/>
          <w:i/>
          <w:sz w:val="20"/>
          <w:szCs w:val="20"/>
        </w:rPr>
        <w:t xml:space="preserve">MDR3 </w:t>
      </w:r>
      <w:r>
        <w:rPr>
          <w:rFonts w:ascii="Times New Roman" w:hAnsi="Times New Roman" w:cs="Times New Roman"/>
          <w:sz w:val="20"/>
          <w:szCs w:val="20"/>
        </w:rPr>
        <w:t>pour la phosphatidylcholine</w:t>
      </w:r>
      <w:r w:rsidRPr="00E22508">
        <w:rPr>
          <w:rFonts w:ascii="Times New Roman" w:hAnsi="Times New Roman" w:cs="Times New Roman"/>
          <w:sz w:val="20"/>
          <w:szCs w:val="20"/>
        </w:rPr>
        <w:t xml:space="preserve">, et </w:t>
      </w:r>
      <w:r w:rsidRPr="00455308">
        <w:rPr>
          <w:rFonts w:ascii="Times New Roman" w:hAnsi="Times New Roman" w:cs="Times New Roman"/>
          <w:bCs/>
          <w:i/>
          <w:sz w:val="20"/>
          <w:szCs w:val="20"/>
        </w:rPr>
        <w:t xml:space="preserve">cMOAT </w:t>
      </w:r>
      <w:r w:rsidRPr="00E22508">
        <w:rPr>
          <w:rFonts w:ascii="Times New Roman" w:hAnsi="Times New Roman" w:cs="Times New Roman"/>
          <w:sz w:val="20"/>
          <w:szCs w:val="20"/>
        </w:rPr>
        <w:t xml:space="preserve">(transporteur canaliculaire multispécifique d'anions organiques  = </w:t>
      </w:r>
      <w:r w:rsidRPr="006A2335">
        <w:rPr>
          <w:rFonts w:ascii="Times New Roman" w:hAnsi="Times New Roman" w:cs="Times New Roman"/>
          <w:i/>
          <w:sz w:val="20"/>
          <w:szCs w:val="20"/>
        </w:rPr>
        <w:t>protéine de résistance multidrogues MRP2</w:t>
      </w:r>
      <w:r w:rsidRPr="00E22508">
        <w:rPr>
          <w:rFonts w:ascii="Times New Roman" w:hAnsi="Times New Roman" w:cs="Times New Roman"/>
          <w:sz w:val="20"/>
          <w:szCs w:val="20"/>
        </w:rPr>
        <w:t>) pour les conjugués (formés avec le glutathion, l'acide glucuronique ou le sulfate) et de nombreux autres anions organiques.</w:t>
      </w:r>
    </w:p>
    <w:p w14:paraId="36EE2E0F" w14:textId="77777777" w:rsidR="000B4F48" w:rsidRPr="006A2335" w:rsidRDefault="000B4F48" w:rsidP="006F0E11">
      <w:pPr>
        <w:spacing w:line="240" w:lineRule="auto"/>
        <w:ind w:firstLine="708"/>
        <w:jc w:val="both"/>
        <w:rPr>
          <w:rFonts w:ascii="Times New Roman" w:hAnsi="Times New Roman" w:cs="Times New Roman"/>
          <w:b/>
          <w:sz w:val="20"/>
          <w:szCs w:val="20"/>
        </w:rPr>
      </w:pPr>
      <w:r w:rsidRPr="006F0E11">
        <w:rPr>
          <w:rFonts w:ascii="Times New Roman" w:hAnsi="Times New Roman" w:cs="Times New Roman"/>
          <w:i/>
          <w:sz w:val="20"/>
          <w:szCs w:val="20"/>
        </w:rPr>
        <w:t>Production et métabolisme de la bilirubine</w:t>
      </w:r>
      <w:r w:rsidR="006A2335">
        <w:rPr>
          <w:rFonts w:ascii="Times New Roman" w:hAnsi="Times New Roman" w:cs="Times New Roman"/>
          <w:b/>
          <w:sz w:val="20"/>
          <w:szCs w:val="20"/>
        </w:rPr>
        <w:t xml:space="preserve">. </w:t>
      </w:r>
      <w:r w:rsidRPr="000B4F48">
        <w:rPr>
          <w:rFonts w:ascii="Times New Roman" w:hAnsi="Times New Roman" w:cs="Times New Roman"/>
          <w:sz w:val="20"/>
          <w:szCs w:val="20"/>
        </w:rPr>
        <w:t>La bilirubine, un pigment tétrapyrrolique, est un produit de dégradation de l'hème (ferroprotoporphyrine IX). Environ 70 à 80 % des 250 à 300 mg de bilirubine produits chaque jour proviennent de la dégradation de l'hémoglobine dans les globules rouges sénescents. Le reste provient des cellules érythroïdes détruites prématurément dans la moelle osseuse et du renouvellement des hémoprotéines telles que la myoglobine et les cytochromes présents dans les tissus de tout l'organisme.</w:t>
      </w:r>
    </w:p>
    <w:p w14:paraId="6A69C89E" w14:textId="77777777" w:rsidR="006A2335" w:rsidRPr="006A2335" w:rsidRDefault="000B4F48" w:rsidP="006F0E11">
      <w:pPr>
        <w:spacing w:line="240" w:lineRule="auto"/>
        <w:ind w:firstLine="708"/>
        <w:jc w:val="both"/>
        <w:rPr>
          <w:sz w:val="20"/>
          <w:szCs w:val="20"/>
        </w:rPr>
      </w:pPr>
      <w:r w:rsidRPr="000B4F48">
        <w:rPr>
          <w:rFonts w:ascii="Times New Roman" w:hAnsi="Times New Roman" w:cs="Times New Roman"/>
          <w:sz w:val="20"/>
          <w:szCs w:val="20"/>
        </w:rPr>
        <w:t xml:space="preserve">La formation de la bilirubine se produit dans les cellules réticulo-endothéliales, principalement dans la rate et le foie. </w:t>
      </w:r>
      <w:r w:rsidR="00D06017" w:rsidRPr="00E22508">
        <w:rPr>
          <w:rFonts w:ascii="Times New Roman" w:hAnsi="Times New Roman" w:cs="Times New Roman"/>
          <w:sz w:val="20"/>
          <w:szCs w:val="20"/>
        </w:rPr>
        <w:t xml:space="preserve">Chaque gramme d'hémoglobine produit environ 35 mg de bilirubine. </w:t>
      </w:r>
      <w:r w:rsidRPr="000B4F48">
        <w:rPr>
          <w:rFonts w:ascii="Times New Roman" w:hAnsi="Times New Roman" w:cs="Times New Roman"/>
          <w:sz w:val="20"/>
          <w:szCs w:val="20"/>
        </w:rPr>
        <w:t xml:space="preserve">La première réaction, catalysée par l'enzyme microsomale </w:t>
      </w:r>
      <w:r w:rsidRPr="000B4F48">
        <w:rPr>
          <w:rFonts w:ascii="Times New Roman" w:hAnsi="Times New Roman" w:cs="Times New Roman"/>
          <w:i/>
          <w:sz w:val="20"/>
          <w:szCs w:val="20"/>
        </w:rPr>
        <w:t>hème oxygénase</w:t>
      </w:r>
      <w:r w:rsidRPr="000B4F48">
        <w:rPr>
          <w:rFonts w:ascii="Times New Roman" w:hAnsi="Times New Roman" w:cs="Times New Roman"/>
          <w:sz w:val="20"/>
          <w:szCs w:val="20"/>
        </w:rPr>
        <w:t xml:space="preserve">, clive par oxydation le pont du groupe porphyrine et ouvre le cycle hème. Les produits finaux de cette réaction sont </w:t>
      </w:r>
      <w:r w:rsidRPr="000B4F48">
        <w:rPr>
          <w:rFonts w:ascii="Times New Roman" w:hAnsi="Times New Roman" w:cs="Times New Roman"/>
          <w:i/>
          <w:sz w:val="20"/>
          <w:szCs w:val="20"/>
        </w:rPr>
        <w:t xml:space="preserve">la biliverdine, </w:t>
      </w:r>
      <w:r w:rsidRPr="000B4F48">
        <w:rPr>
          <w:rFonts w:ascii="Times New Roman" w:hAnsi="Times New Roman" w:cs="Times New Roman"/>
          <w:sz w:val="20"/>
          <w:szCs w:val="20"/>
        </w:rPr>
        <w:t xml:space="preserve">le monoxyde de carbone et le fer. La deuxième réaction, catalysée par l'enzyme cytosolique </w:t>
      </w:r>
      <w:r w:rsidRPr="000B4F48">
        <w:rPr>
          <w:rFonts w:ascii="Times New Roman" w:hAnsi="Times New Roman" w:cs="Times New Roman"/>
          <w:i/>
          <w:sz w:val="20"/>
          <w:szCs w:val="20"/>
        </w:rPr>
        <w:t>biliverdine réductase</w:t>
      </w:r>
      <w:r w:rsidRPr="000B4F48">
        <w:rPr>
          <w:rFonts w:ascii="Times New Roman" w:hAnsi="Times New Roman" w:cs="Times New Roman"/>
          <w:sz w:val="20"/>
          <w:szCs w:val="20"/>
        </w:rPr>
        <w:t xml:space="preserve">, réduit le pont méthylène central de la biliverdine et la convertit en </w:t>
      </w:r>
      <w:r w:rsidRPr="000B4F48">
        <w:rPr>
          <w:rFonts w:ascii="Times New Roman" w:hAnsi="Times New Roman" w:cs="Times New Roman"/>
          <w:i/>
          <w:sz w:val="20"/>
          <w:szCs w:val="20"/>
        </w:rPr>
        <w:t>bilirubine.</w:t>
      </w:r>
      <w:r w:rsidRPr="000B4F48">
        <w:rPr>
          <w:rFonts w:ascii="Times New Roman" w:hAnsi="Times New Roman" w:cs="Times New Roman"/>
          <w:sz w:val="20"/>
          <w:szCs w:val="20"/>
        </w:rPr>
        <w:t xml:space="preserve"> La bilirubine formée dans les cellules réticulo-endothéliales est pratiquement insoluble dans l'eau. Cela est dû à la forte liaison hydrogène interne entre les fragments hydrosolubles de la bilirubine, les groupes carboxyle de l'acide propionique d'une moitié dipyrrolique de la molécule et les groupes imino et lactame de la moitié opposée. Cette configuration bloque l'accès du solvant aux résidus polaires de la bilirubine et place les résidus hydrophobes à l'extérieur. </w:t>
      </w:r>
      <w:r w:rsidR="00D06017" w:rsidRPr="00E22508">
        <w:rPr>
          <w:rFonts w:ascii="Times New Roman" w:hAnsi="Times New Roman" w:cs="Times New Roman"/>
          <w:sz w:val="20"/>
          <w:szCs w:val="20"/>
        </w:rPr>
        <w:t>La bilirubine libre non conjuguée (</w:t>
      </w:r>
      <w:r w:rsidR="00D06017" w:rsidRPr="00E22508">
        <w:rPr>
          <w:rFonts w:ascii="Times New Roman" w:hAnsi="Times New Roman" w:cs="Times New Roman"/>
          <w:i/>
          <w:iCs/>
          <w:sz w:val="20"/>
          <w:szCs w:val="20"/>
        </w:rPr>
        <w:t>bilirubine « indirecte »</w:t>
      </w:r>
      <w:r w:rsidR="00D06017" w:rsidRPr="00E22508">
        <w:rPr>
          <w:rFonts w:ascii="Times New Roman" w:hAnsi="Times New Roman" w:cs="Times New Roman"/>
          <w:sz w:val="20"/>
          <w:szCs w:val="20"/>
        </w:rPr>
        <w:t>) est peu soluble dans l'eau, mais liposoluble et toxique</w:t>
      </w:r>
      <w:r w:rsidR="00D06017">
        <w:rPr>
          <w:rFonts w:ascii="Times New Roman" w:hAnsi="Times New Roman" w:cs="Times New Roman"/>
          <w:sz w:val="20"/>
          <w:szCs w:val="20"/>
        </w:rPr>
        <w:t xml:space="preserve">. </w:t>
      </w:r>
      <w:r w:rsidRPr="000B4F48">
        <w:rPr>
          <w:rFonts w:ascii="Times New Roman" w:hAnsi="Times New Roman" w:cs="Times New Roman"/>
          <w:sz w:val="20"/>
          <w:szCs w:val="20"/>
        </w:rPr>
        <w:t xml:space="preserve">Pour être transportée dans le sang, la bilirubine doit être solubilisée. Cela s'effectue par sa liaison réversible et non covalente à l'albumine </w:t>
      </w:r>
      <w:r w:rsidR="00D06017" w:rsidRPr="00E22508">
        <w:rPr>
          <w:rFonts w:ascii="Times New Roman" w:hAnsi="Times New Roman" w:cs="Times New Roman"/>
          <w:sz w:val="20"/>
          <w:szCs w:val="20"/>
        </w:rPr>
        <w:t xml:space="preserve">(2 moles </w:t>
      </w:r>
      <w:r w:rsidR="00D06017">
        <w:rPr>
          <w:rFonts w:ascii="Times New Roman" w:hAnsi="Times New Roman" w:cs="Times New Roman"/>
          <w:sz w:val="20"/>
          <w:szCs w:val="20"/>
        </w:rPr>
        <w:t>de bilirubine pour 1 mole d'albumine)</w:t>
      </w:r>
      <w:r w:rsidRPr="000B4F48">
        <w:rPr>
          <w:rFonts w:ascii="Times New Roman" w:hAnsi="Times New Roman" w:cs="Times New Roman"/>
          <w:sz w:val="20"/>
          <w:szCs w:val="20"/>
        </w:rPr>
        <w:t xml:space="preserve">. La bilirubine non conjuguée liée à l'albumine est transportée vers le foie, où elle est absorbée par les hépatocytes, mais pas l'albumine, via un processus qui implique au moins en partie un transport membranaire médié par un transporteur. </w:t>
      </w:r>
      <w:r w:rsidR="006A2335" w:rsidRPr="006A2335">
        <w:rPr>
          <w:rFonts w:ascii="Times New Roman" w:hAnsi="Times New Roman" w:cs="Times New Roman"/>
          <w:sz w:val="20"/>
          <w:szCs w:val="20"/>
        </w:rPr>
        <w:t>Le transfert de la bilirubine du sang vers la bile implique quatre étapes distinctes mais interdépendantes :</w:t>
      </w:r>
    </w:p>
    <w:p w14:paraId="77424710" w14:textId="77777777" w:rsidR="006A2335" w:rsidRPr="006A2335"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 xml:space="preserve">Absorption hépatocellulaire </w:t>
      </w:r>
      <w:r w:rsidRPr="006A2335">
        <w:rPr>
          <w:rFonts w:ascii="Times New Roman" w:hAnsi="Times New Roman" w:cs="Times New Roman"/>
          <w:sz w:val="20"/>
          <w:szCs w:val="20"/>
        </w:rPr>
        <w:t>: l'absorption de la bilirubine par les hépatocytes suit une cinétique médiée par des transporteurs. Bien qu'un certain nombre de transporteurs de bilirubine aient été proposés, le transporteur réel reste inconnu.</w:t>
      </w:r>
    </w:p>
    <w:p w14:paraId="44AD1FB5" w14:textId="77777777" w:rsidR="006A2335" w:rsidRPr="006A2335"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 xml:space="preserve">Liaison intracellulaire </w:t>
      </w:r>
      <w:r w:rsidRPr="006A2335">
        <w:rPr>
          <w:rFonts w:ascii="Times New Roman" w:hAnsi="Times New Roman" w:cs="Times New Roman"/>
          <w:sz w:val="20"/>
          <w:szCs w:val="20"/>
        </w:rPr>
        <w:t xml:space="preserve">: après être entrée dans l'hépatocyte, la bilirubine non conjuguée se lie dans le cytosol à un certain nombre de protéines, notamment celles de la superfamille des glutathion-S-transférases, anciennement appelées </w:t>
      </w:r>
      <w:r w:rsidRPr="006A2335">
        <w:rPr>
          <w:rFonts w:ascii="Times New Roman" w:hAnsi="Times New Roman" w:cs="Times New Roman"/>
          <w:i/>
          <w:sz w:val="20"/>
          <w:szCs w:val="20"/>
        </w:rPr>
        <w:t>ligandines</w:t>
      </w:r>
      <w:r w:rsidRPr="006A2335">
        <w:rPr>
          <w:rFonts w:ascii="Times New Roman" w:hAnsi="Times New Roman" w:cs="Times New Roman"/>
          <w:sz w:val="20"/>
          <w:szCs w:val="20"/>
        </w:rPr>
        <w:t>. Ces protéines servent à la fois à réduire le reflux de bilirubine dans le sérum et à présenter la bilirubine pour la conjugaison.</w:t>
      </w:r>
    </w:p>
    <w:p w14:paraId="40A63600" w14:textId="77777777" w:rsidR="001F1C73"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 xml:space="preserve">Conjugaison </w:t>
      </w:r>
      <w:r w:rsidRPr="006A2335">
        <w:rPr>
          <w:rFonts w:ascii="Times New Roman" w:hAnsi="Times New Roman" w:cs="Times New Roman"/>
          <w:sz w:val="20"/>
          <w:szCs w:val="20"/>
        </w:rPr>
        <w:t xml:space="preserve">: </w:t>
      </w:r>
      <w:r w:rsidR="006C0094" w:rsidRPr="006C0094">
        <w:rPr>
          <w:rFonts w:ascii="Times New Roman" w:hAnsi="Times New Roman" w:cs="Times New Roman"/>
          <w:sz w:val="20"/>
          <w:szCs w:val="20"/>
        </w:rPr>
        <w:t xml:space="preserve">dans le réticulum endoplasmique, </w:t>
      </w:r>
      <w:r w:rsidRPr="006C0094">
        <w:rPr>
          <w:rFonts w:ascii="Times New Roman" w:hAnsi="Times New Roman" w:cs="Times New Roman"/>
          <w:sz w:val="20"/>
          <w:szCs w:val="20"/>
        </w:rPr>
        <w:t xml:space="preserve">la bilirubine </w:t>
      </w:r>
      <w:r w:rsidRPr="006A2335">
        <w:rPr>
          <w:rFonts w:ascii="Times New Roman" w:hAnsi="Times New Roman" w:cs="Times New Roman"/>
          <w:sz w:val="20"/>
          <w:szCs w:val="20"/>
        </w:rPr>
        <w:t xml:space="preserve">est conjuguée à un ou deux fragments d'acide glucuronique par une </w:t>
      </w:r>
      <w:r w:rsidRPr="006A2335">
        <w:rPr>
          <w:rFonts w:ascii="Times New Roman" w:hAnsi="Times New Roman" w:cs="Times New Roman"/>
          <w:i/>
          <w:sz w:val="20"/>
          <w:szCs w:val="20"/>
        </w:rPr>
        <w:t xml:space="preserve">UDP-glucuronosyltransférase </w:t>
      </w:r>
      <w:r w:rsidRPr="006A2335">
        <w:rPr>
          <w:rFonts w:ascii="Times New Roman" w:hAnsi="Times New Roman" w:cs="Times New Roman"/>
          <w:sz w:val="20"/>
          <w:szCs w:val="20"/>
        </w:rPr>
        <w:t xml:space="preserve">spécifique pour former respectivement la bilirubine mono- et diglucuronide. La conjugaison perturbe la liaison hydrogène interne qui limite la solubilité aqueuse de la bilirubine, et les conjugués glucuronides qui en résultent sont hautement solubles dans l'eau. La conjugaison est obligatoire pour l'excrétion de la bilirubine à travers la membrane canaliculaire biliaire dans la bile. Les UDP-glucuronosyltransférases ont été classées en familles de gènes en fonction du degré d'homologie entre les ARNm des différentes isoformes. Celles qui conjuguent la bilirubine et certains autres substrats ont été désignées comme appartenant à la famille UGT1. </w:t>
      </w:r>
    </w:p>
    <w:p w14:paraId="43727045" w14:textId="77777777" w:rsidR="006A2335" w:rsidRDefault="001F1C73" w:rsidP="001F1C73">
      <w:pPr>
        <w:ind w:firstLine="720"/>
        <w:jc w:val="both"/>
        <w:rPr>
          <w:rFonts w:ascii="Times New Roman" w:hAnsi="Times New Roman" w:cs="Times New Roman"/>
          <w:sz w:val="20"/>
          <w:szCs w:val="20"/>
        </w:rPr>
      </w:pPr>
      <w:r w:rsidRPr="006A2335">
        <w:rPr>
          <w:rFonts w:ascii="Times New Roman" w:hAnsi="Times New Roman" w:cs="Times New Roman"/>
          <w:i/>
          <w:sz w:val="20"/>
          <w:szCs w:val="20"/>
        </w:rPr>
        <w:t xml:space="preserve">Excrétion biliaire </w:t>
      </w:r>
      <w:r w:rsidRPr="006A2335">
        <w:rPr>
          <w:rFonts w:ascii="Times New Roman" w:hAnsi="Times New Roman" w:cs="Times New Roman"/>
          <w:sz w:val="20"/>
          <w:szCs w:val="20"/>
        </w:rPr>
        <w:t xml:space="preserve">: Les mono- et diglucuronides de bilirubine sont excrétés à travers la membrane plasmique canaliculaire dans les canalicules biliaires par un processus de transport dépendant de l'ATP, médié par une protéine membranaire canaliculaire appelée </w:t>
      </w:r>
      <w:r w:rsidRPr="006A2335">
        <w:rPr>
          <w:rFonts w:ascii="Times New Roman" w:hAnsi="Times New Roman" w:cs="Times New Roman"/>
          <w:i/>
          <w:sz w:val="20"/>
          <w:szCs w:val="20"/>
        </w:rPr>
        <w:t>protéine 2 associée à la résistance multidrogues (MRP2)</w:t>
      </w:r>
      <w:r w:rsidRPr="006A2335">
        <w:rPr>
          <w:rFonts w:ascii="Times New Roman" w:hAnsi="Times New Roman" w:cs="Times New Roman"/>
          <w:sz w:val="20"/>
          <w:szCs w:val="20"/>
        </w:rPr>
        <w:t xml:space="preserve">. Les mutations de la MRP2 entraînent le </w:t>
      </w:r>
      <w:r>
        <w:rPr>
          <w:rFonts w:ascii="Times New Roman" w:hAnsi="Times New Roman" w:cs="Times New Roman"/>
          <w:sz w:val="20"/>
          <w:szCs w:val="20"/>
        </w:rPr>
        <w:t>syndrome de Dubin-Johnson (voir ci-dessous).</w:t>
      </w:r>
    </w:p>
    <w:p w14:paraId="1849F1D8" w14:textId="77777777" w:rsidR="001F1C73" w:rsidRDefault="001F1C73" w:rsidP="001F1C73">
      <w:pPr>
        <w:jc w:val="center"/>
        <w:rPr>
          <w:rFonts w:ascii="Times New Roman" w:hAnsi="Times New Roman" w:cs="Times New Roman"/>
          <w:sz w:val="20"/>
          <w:szCs w:val="20"/>
        </w:rPr>
      </w:pPr>
      <w:r w:rsidRPr="001F1C73">
        <w:rPr>
          <w:rFonts w:ascii="Times New Roman" w:hAnsi="Times New Roman" w:cs="Times New Roman"/>
          <w:noProof/>
          <w:sz w:val="20"/>
          <w:szCs w:val="20"/>
          <w:lang w:val="en-GB" w:eastAsia="en-GB"/>
        </w:rPr>
        <w:drawing>
          <wp:inline distT="0" distB="0" distL="0" distR="0" wp14:anchorId="1577E523" wp14:editId="339E34A6">
            <wp:extent cx="3166110" cy="1597249"/>
            <wp:effectExtent l="19050" t="19050" r="15240" b="22001"/>
            <wp:docPr id="13" name="Рисунок 3" descr="C:\Users\Iuliana\Desktop\biliru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bilirub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816" cy="1598614"/>
                    </a:xfrm>
                    <a:prstGeom prst="rect">
                      <a:avLst/>
                    </a:prstGeom>
                    <a:noFill/>
                    <a:ln>
                      <a:solidFill>
                        <a:schemeClr val="tx1"/>
                      </a:solidFill>
                    </a:ln>
                  </pic:spPr>
                </pic:pic>
              </a:graphicData>
            </a:graphic>
          </wp:inline>
        </w:drawing>
      </w:r>
    </w:p>
    <w:p w14:paraId="67CF98B9" w14:textId="77777777" w:rsidR="001F1C73" w:rsidRPr="00D06017" w:rsidRDefault="001F1C73" w:rsidP="001F1C73">
      <w:pPr>
        <w:jc w:val="center"/>
        <w:rPr>
          <w:rFonts w:ascii="Times New Roman" w:hAnsi="Times New Roman" w:cs="Times New Roman"/>
          <w:sz w:val="20"/>
          <w:szCs w:val="20"/>
        </w:rPr>
      </w:pPr>
      <w:r w:rsidRPr="00D06017">
        <w:rPr>
          <w:rFonts w:ascii="Times New Roman" w:hAnsi="Times New Roman" w:cs="Times New Roman"/>
          <w:b/>
          <w:sz w:val="20"/>
          <w:szCs w:val="20"/>
        </w:rPr>
        <w:t>Transport hépato-cellulaire de la bilirubine</w:t>
      </w:r>
    </w:p>
    <w:p w14:paraId="2222E652" w14:textId="77777777" w:rsidR="001F1C73" w:rsidRPr="001F1C73" w:rsidRDefault="001F1C73" w:rsidP="001F1C73">
      <w:pPr>
        <w:jc w:val="both"/>
        <w:rPr>
          <w:sz w:val="20"/>
          <w:szCs w:val="20"/>
        </w:rPr>
      </w:pPr>
      <w:r w:rsidRPr="00A83128">
        <w:rPr>
          <w:rFonts w:ascii="Times New Roman" w:hAnsi="Times New Roman" w:cs="Times New Roman"/>
          <w:sz w:val="24"/>
          <w:szCs w:val="24"/>
        </w:rPr>
        <w:t xml:space="preserve"> </w:t>
      </w:r>
      <w:r w:rsidRPr="001F1C73">
        <w:rPr>
          <w:rFonts w:ascii="Times New Roman" w:hAnsi="Times New Roman" w:cs="Times New Roman"/>
          <w:sz w:val="20"/>
          <w:szCs w:val="20"/>
        </w:rPr>
        <w:t>La bilirubine liée à l'albumine dans le sang sinusoïdal passe à travers les fenêtres endothéliales pour atteindre la surface des hépatocytes, pénétrant dans la cellule par des processus de diffusion facilitée et simple. À l'intérieur de la cellule, elle se lie aux glutathion-S- transférases et est conjuguée par la bilirubine-UDP-glucuronosyltransférase (</w:t>
      </w:r>
      <w:r w:rsidRPr="001F1C73">
        <w:rPr>
          <w:rFonts w:ascii="Times New Roman" w:hAnsi="Times New Roman" w:cs="Times New Roman"/>
          <w:i/>
          <w:sz w:val="20"/>
          <w:szCs w:val="20"/>
        </w:rPr>
        <w:t>UGT1A1</w:t>
      </w:r>
      <w:r w:rsidRPr="001F1C73">
        <w:rPr>
          <w:rFonts w:ascii="Times New Roman" w:hAnsi="Times New Roman" w:cs="Times New Roman"/>
          <w:sz w:val="20"/>
          <w:szCs w:val="20"/>
        </w:rPr>
        <w:t xml:space="preserve">) en mono- et diglucuronides, qui sont activement transportés à travers la membrane canaliculaire dans la bile. ALB, albumine ; BDG, bilirubine diglucuronide ; BMG, monoglucuronide de bilirubine ; BT, transporteur de bilirubine proposé ; GST, glutathion-S-transférase ; MRP2, protéine 2 associée à la résistance multidrogues ; UCB, bilirubine non conjuguée ; UGT1A1, bilirubine-UDP-glucuronosyltransférase. </w:t>
      </w:r>
      <w:r>
        <w:rPr>
          <w:rFonts w:ascii="Times New Roman" w:hAnsi="Times New Roman" w:cs="Times New Roman"/>
          <w:sz w:val="20"/>
          <w:szCs w:val="20"/>
        </w:rPr>
        <w:t xml:space="preserve">(Extrait de Harrison's Principles </w:t>
      </w:r>
      <w:r w:rsidRPr="001F1C73">
        <w:rPr>
          <w:rFonts w:ascii="Times New Roman" w:hAnsi="Times New Roman" w:cs="Times New Roman"/>
          <w:sz w:val="20"/>
          <w:szCs w:val="20"/>
        </w:rPr>
        <w:t>of Internal Medicine, 18e édition)</w:t>
      </w:r>
    </w:p>
    <w:p w14:paraId="2FEAADF5" w14:textId="77777777" w:rsidR="00D06017" w:rsidRPr="006F0E11" w:rsidRDefault="001F1C73" w:rsidP="006F0E11">
      <w:pPr>
        <w:spacing w:line="240" w:lineRule="auto"/>
        <w:ind w:firstLine="720"/>
        <w:jc w:val="both"/>
        <w:rPr>
          <w:rFonts w:ascii="Times New Roman" w:hAnsi="Times New Roman" w:cs="Times New Roman"/>
          <w:i/>
          <w:sz w:val="20"/>
          <w:szCs w:val="20"/>
        </w:rPr>
      </w:pPr>
      <w:r w:rsidRPr="001F1C73">
        <w:rPr>
          <w:rFonts w:ascii="Times New Roman" w:hAnsi="Times New Roman" w:cs="Times New Roman"/>
          <w:i/>
          <w:sz w:val="20"/>
          <w:szCs w:val="20"/>
        </w:rPr>
        <w:t>La bilirubine dans l'intestin</w:t>
      </w:r>
      <w:r w:rsidR="006F0E11">
        <w:rPr>
          <w:rFonts w:ascii="Times New Roman" w:hAnsi="Times New Roman" w:cs="Times New Roman"/>
          <w:i/>
          <w:sz w:val="20"/>
          <w:szCs w:val="20"/>
        </w:rPr>
        <w:t xml:space="preserve">. </w:t>
      </w:r>
      <w:r w:rsidRPr="001F1C73">
        <w:rPr>
          <w:rFonts w:ascii="Times New Roman" w:hAnsi="Times New Roman" w:cs="Times New Roman"/>
          <w:sz w:val="20"/>
          <w:szCs w:val="20"/>
        </w:rPr>
        <w:t xml:space="preserve">La bilirubine conjuguée excrétée dans la bile s'écoule dans le duodénum et traverse sans modification la partie proximale de l'intestin grêle. La bilirubine conjuguée n'est pas absorbée par la muqueuse intestinale. Lorsque la bilirubine conjuguée atteint l'iléon distal et le côlon, elle est hydrolysée en bilirubine non conjuguée par les glucuronidases bactériennes. La bilirubine non conjuguée est réduite par les bactéries intestinales normales pour former un groupe de tétrapyrroles incolores appelés </w:t>
      </w:r>
      <w:r w:rsidRPr="001F1C73">
        <w:rPr>
          <w:rFonts w:ascii="Times New Roman" w:hAnsi="Times New Roman" w:cs="Times New Roman"/>
          <w:i/>
          <w:sz w:val="20"/>
          <w:szCs w:val="20"/>
        </w:rPr>
        <w:t xml:space="preserve">urobilinogènes. </w:t>
      </w:r>
      <w:r w:rsidRPr="001F1C73">
        <w:rPr>
          <w:rFonts w:ascii="Times New Roman" w:hAnsi="Times New Roman" w:cs="Times New Roman"/>
          <w:sz w:val="20"/>
          <w:szCs w:val="20"/>
        </w:rPr>
        <w:t xml:space="preserve">Environ 80 à 90 % de ces produits </w:t>
      </w:r>
      <w:r w:rsidR="008D42EF" w:rsidRPr="00E22508">
        <w:rPr>
          <w:rFonts w:ascii="Times New Roman" w:hAnsi="Times New Roman" w:cs="Times New Roman"/>
          <w:sz w:val="20"/>
          <w:szCs w:val="20"/>
        </w:rPr>
        <w:t xml:space="preserve">présents dans l'intestin </w:t>
      </w:r>
      <w:r w:rsidR="008D42EF">
        <w:rPr>
          <w:rFonts w:ascii="Times New Roman" w:hAnsi="Times New Roman" w:cs="Times New Roman"/>
          <w:sz w:val="20"/>
          <w:szCs w:val="20"/>
        </w:rPr>
        <w:t xml:space="preserve">sont convertis par les bactéries </w:t>
      </w:r>
      <w:r w:rsidR="008D42EF" w:rsidRPr="00E22508">
        <w:rPr>
          <w:rFonts w:ascii="Times New Roman" w:hAnsi="Times New Roman" w:cs="Times New Roman"/>
          <w:sz w:val="20"/>
          <w:szCs w:val="20"/>
        </w:rPr>
        <w:t>en un composé incolore</w:t>
      </w:r>
      <w:r w:rsidR="008D42EF" w:rsidRPr="00455308">
        <w:rPr>
          <w:rFonts w:ascii="Times New Roman" w:hAnsi="Times New Roman" w:cs="Times New Roman"/>
          <w:i/>
          <w:sz w:val="20"/>
          <w:szCs w:val="20"/>
        </w:rPr>
        <w:t xml:space="preserve">, </w:t>
      </w:r>
      <w:r w:rsidR="008D42EF" w:rsidRPr="00455308">
        <w:rPr>
          <w:rFonts w:ascii="Times New Roman" w:hAnsi="Times New Roman" w:cs="Times New Roman"/>
          <w:i/>
          <w:iCs/>
          <w:sz w:val="20"/>
          <w:szCs w:val="20"/>
        </w:rPr>
        <w:t>le stercobilinogène</w:t>
      </w:r>
      <w:r w:rsidR="008D42EF">
        <w:rPr>
          <w:rFonts w:ascii="Times New Roman" w:hAnsi="Times New Roman" w:cs="Times New Roman"/>
          <w:i/>
          <w:iCs/>
          <w:sz w:val="20"/>
          <w:szCs w:val="20"/>
        </w:rPr>
        <w:t xml:space="preserve">. </w:t>
      </w:r>
      <w:r w:rsidRPr="001F1C73">
        <w:rPr>
          <w:rFonts w:ascii="Times New Roman" w:hAnsi="Times New Roman" w:cs="Times New Roman"/>
          <w:sz w:val="20"/>
          <w:szCs w:val="20"/>
        </w:rPr>
        <w:t xml:space="preserve">Les 10 à 20 % restants des urobilinogènes sont absorbés passivement, pénètrent dans le sang veineux porte et sont réexcrétés par le foie. Une petite fraction (généralement &lt; 3 mg/dL </w:t>
      </w:r>
      <w:r w:rsidR="006F0E11">
        <w:rPr>
          <w:rFonts w:ascii="Times New Roman" w:hAnsi="Times New Roman" w:cs="Times New Roman"/>
          <w:sz w:val="20"/>
          <w:szCs w:val="20"/>
        </w:rPr>
        <w:t>; 5 %</w:t>
      </w:r>
      <w:r w:rsidRPr="001F1C73">
        <w:rPr>
          <w:rFonts w:ascii="Times New Roman" w:hAnsi="Times New Roman" w:cs="Times New Roman"/>
          <w:sz w:val="20"/>
          <w:szCs w:val="20"/>
        </w:rPr>
        <w:t xml:space="preserve">) échappe à l'absorption hépatique, est filtrée par le glomérule rénal et est excrétée dans l'urine </w:t>
      </w:r>
      <w:r w:rsidR="008D42EF">
        <w:rPr>
          <w:rFonts w:ascii="Times New Roman" w:hAnsi="Times New Roman" w:cs="Times New Roman"/>
          <w:sz w:val="20"/>
          <w:szCs w:val="20"/>
        </w:rPr>
        <w:t xml:space="preserve">sous forme </w:t>
      </w:r>
      <w:r w:rsidR="008D42EF" w:rsidRPr="008D42EF">
        <w:rPr>
          <w:rFonts w:ascii="Times New Roman" w:hAnsi="Times New Roman" w:cs="Times New Roman"/>
          <w:i/>
          <w:sz w:val="20"/>
          <w:szCs w:val="20"/>
        </w:rPr>
        <w:t>d'urobiline</w:t>
      </w:r>
      <w:r w:rsidRPr="001F1C73">
        <w:rPr>
          <w:rFonts w:ascii="Times New Roman" w:hAnsi="Times New Roman" w:cs="Times New Roman"/>
          <w:sz w:val="20"/>
          <w:szCs w:val="20"/>
        </w:rPr>
        <w:t xml:space="preserve">. </w:t>
      </w:r>
      <w:r w:rsidR="008D42EF">
        <w:rPr>
          <w:rFonts w:ascii="Times New Roman" w:hAnsi="Times New Roman" w:cs="Times New Roman"/>
          <w:sz w:val="20"/>
          <w:szCs w:val="20"/>
        </w:rPr>
        <w:t xml:space="preserve">De plus, la stercobilinogène au niveau du gros intestin </w:t>
      </w:r>
      <w:r w:rsidR="00D06017" w:rsidRPr="00E22508">
        <w:rPr>
          <w:rFonts w:ascii="Times New Roman" w:hAnsi="Times New Roman" w:cs="Times New Roman"/>
          <w:sz w:val="20"/>
          <w:szCs w:val="20"/>
        </w:rPr>
        <w:t xml:space="preserve">est partiellement oxydée en </w:t>
      </w:r>
      <w:r w:rsidR="00D06017" w:rsidRPr="00E22508">
        <w:rPr>
          <w:rFonts w:ascii="Times New Roman" w:hAnsi="Times New Roman" w:cs="Times New Roman"/>
          <w:i/>
          <w:iCs/>
          <w:sz w:val="20"/>
          <w:szCs w:val="20"/>
        </w:rPr>
        <w:t>stercobiline</w:t>
      </w:r>
      <w:r w:rsidR="00D06017" w:rsidRPr="00E22508">
        <w:rPr>
          <w:rFonts w:ascii="Times New Roman" w:hAnsi="Times New Roman" w:cs="Times New Roman"/>
          <w:sz w:val="20"/>
          <w:szCs w:val="20"/>
        </w:rPr>
        <w:t xml:space="preserve">, le composé brun qui colore les selles. Une petite partie (environ 1 %) atteint la circulation systémique </w:t>
      </w:r>
      <w:r w:rsidR="00D06017">
        <w:rPr>
          <w:rFonts w:ascii="Times New Roman" w:hAnsi="Times New Roman" w:cs="Times New Roman"/>
          <w:sz w:val="20"/>
          <w:szCs w:val="20"/>
        </w:rPr>
        <w:t xml:space="preserve">via la veine hémorroïdaire </w:t>
      </w:r>
      <w:r w:rsidR="00D06017" w:rsidRPr="00E22508">
        <w:rPr>
          <w:rFonts w:ascii="Times New Roman" w:hAnsi="Times New Roman" w:cs="Times New Roman"/>
          <w:sz w:val="20"/>
          <w:szCs w:val="20"/>
        </w:rPr>
        <w:t xml:space="preserve">et est excrétée par les reins sous forme de stercobilinogène </w:t>
      </w:r>
      <w:r w:rsidR="008D42EF">
        <w:rPr>
          <w:rFonts w:ascii="Times New Roman" w:hAnsi="Times New Roman" w:cs="Times New Roman"/>
          <w:sz w:val="20"/>
          <w:szCs w:val="20"/>
        </w:rPr>
        <w:t xml:space="preserve">et </w:t>
      </w:r>
      <w:r w:rsidR="00D06017" w:rsidRPr="00E22508">
        <w:rPr>
          <w:rFonts w:ascii="Times New Roman" w:hAnsi="Times New Roman" w:cs="Times New Roman"/>
          <w:sz w:val="20"/>
          <w:szCs w:val="20"/>
        </w:rPr>
        <w:t xml:space="preserve">de </w:t>
      </w:r>
      <w:r w:rsidR="008D42EF">
        <w:rPr>
          <w:rFonts w:ascii="Times New Roman" w:hAnsi="Times New Roman" w:cs="Times New Roman"/>
          <w:sz w:val="20"/>
          <w:szCs w:val="20"/>
        </w:rPr>
        <w:t>stercobiline</w:t>
      </w:r>
      <w:r w:rsidR="00D06017" w:rsidRPr="00E22508">
        <w:rPr>
          <w:rFonts w:ascii="Times New Roman" w:hAnsi="Times New Roman" w:cs="Times New Roman"/>
          <w:sz w:val="20"/>
          <w:szCs w:val="20"/>
        </w:rPr>
        <w:t>. Le taux d'excrétion rénale augmente lorsque le foie est endommagé.</w:t>
      </w:r>
    </w:p>
    <w:p w14:paraId="5920657F" w14:textId="77777777" w:rsidR="001F1C73" w:rsidRPr="001F1C73" w:rsidRDefault="001F1C73" w:rsidP="00540A2E">
      <w:pPr>
        <w:spacing w:line="240" w:lineRule="auto"/>
        <w:ind w:firstLine="720"/>
        <w:jc w:val="both"/>
        <w:rPr>
          <w:rFonts w:ascii="Times New Roman" w:hAnsi="Times New Roman" w:cs="Times New Roman"/>
          <w:sz w:val="20"/>
          <w:szCs w:val="20"/>
        </w:rPr>
      </w:pPr>
      <w:r w:rsidRPr="001F1C73">
        <w:rPr>
          <w:rFonts w:ascii="Times New Roman" w:hAnsi="Times New Roman" w:cs="Times New Roman"/>
          <w:sz w:val="20"/>
          <w:szCs w:val="20"/>
        </w:rPr>
        <w:t xml:space="preserve">La bilirubine non conjuguée n'atteint généralement pas l'intestin, sauf chez les nouveau-nés ou, par des voies alternatives mal définies, en présence d'une hyperbilirubinémie non conjuguée sévère [par exemple, syndrome de Crigler-Najjar de type I (CN-I)]. La bilirubine non conjuguée qui atteint l'intestin est partiellement réabsorbée, amplifiant toute hyperbilirubinémie sous-jacente. Des rapports récents suggèrent que l'administration orale de phosphate de calcium, avec ou sans l'inhibiteur de lipase orlistat, peut être un moyen efficace d'interrompre le cycle entéro-hépatique de la bilirubine afin de réduire les taux sériques de bilirubine dans cette situation. Bien que l'administration d'orlistat pendant 4 à 6 semaines à 16 patients atteints du syndrome de Crigler-Najjar ait été associée à une diminution de 10 à 20 % de la bilirubine sérique chez 7 patients, </w:t>
      </w:r>
      <w:r w:rsidR="00D06017">
        <w:rPr>
          <w:rFonts w:ascii="Times New Roman" w:hAnsi="Times New Roman" w:cs="Times New Roman"/>
          <w:sz w:val="20"/>
          <w:szCs w:val="20"/>
        </w:rPr>
        <w:t>le coût et les effets secondaires (</w:t>
      </w:r>
      <w:r w:rsidRPr="001F1C73">
        <w:rPr>
          <w:rFonts w:ascii="Times New Roman" w:hAnsi="Times New Roman" w:cs="Times New Roman"/>
          <w:sz w:val="20"/>
          <w:szCs w:val="20"/>
        </w:rPr>
        <w:t>diarrhée) peuvent annuler le faible bénéfice pouvant être obtenu avec ce traitement.</w:t>
      </w:r>
    </w:p>
    <w:p w14:paraId="4AE29CA4" w14:textId="77777777" w:rsidR="001F1C73" w:rsidRPr="008D42EF" w:rsidRDefault="00D06017" w:rsidP="00540A2E">
      <w:pPr>
        <w:ind w:firstLine="720"/>
        <w:jc w:val="both"/>
        <w:rPr>
          <w:rFonts w:ascii="Times New Roman" w:hAnsi="Times New Roman" w:cs="Times New Roman"/>
          <w:i/>
          <w:sz w:val="20"/>
          <w:szCs w:val="20"/>
        </w:rPr>
      </w:pPr>
      <w:r>
        <w:rPr>
          <w:rFonts w:ascii="Times New Roman" w:hAnsi="Times New Roman" w:cs="Times New Roman"/>
          <w:i/>
          <w:sz w:val="20"/>
          <w:szCs w:val="20"/>
        </w:rPr>
        <w:t xml:space="preserve">Excrétion rénale des </w:t>
      </w:r>
      <w:r w:rsidR="001F1C73" w:rsidRPr="001F1C73">
        <w:rPr>
          <w:rFonts w:ascii="Times New Roman" w:hAnsi="Times New Roman" w:cs="Times New Roman"/>
          <w:i/>
          <w:sz w:val="20"/>
          <w:szCs w:val="20"/>
        </w:rPr>
        <w:t>conjugués</w:t>
      </w:r>
      <w:r>
        <w:rPr>
          <w:rFonts w:ascii="Times New Roman" w:hAnsi="Times New Roman" w:cs="Times New Roman"/>
          <w:i/>
          <w:sz w:val="20"/>
          <w:szCs w:val="20"/>
        </w:rPr>
        <w:t xml:space="preserve"> de bilirubine</w:t>
      </w:r>
      <w:r w:rsidR="00540A2E">
        <w:rPr>
          <w:rFonts w:ascii="Times New Roman" w:hAnsi="Times New Roman" w:cs="Times New Roman"/>
          <w:i/>
          <w:sz w:val="20"/>
          <w:szCs w:val="20"/>
        </w:rPr>
        <w:t xml:space="preserve">. </w:t>
      </w:r>
      <w:r w:rsidR="001F1C73" w:rsidRPr="001F1C73">
        <w:rPr>
          <w:rFonts w:ascii="Times New Roman" w:hAnsi="Times New Roman" w:cs="Times New Roman"/>
          <w:sz w:val="20"/>
          <w:szCs w:val="20"/>
        </w:rPr>
        <w:t xml:space="preserve">La bilirubine non conjuguée n'est pas excrétée dans l'urine, car elle est trop fortement liée à l'albumine pour permettre une filtration glomérulaire efficace et il n'existe aucun mécanisme tubulaire pour sa sécrétion rénale. En revanche, </w:t>
      </w:r>
      <w:r w:rsidR="008D42EF">
        <w:rPr>
          <w:rFonts w:ascii="Times New Roman" w:hAnsi="Times New Roman" w:cs="Times New Roman"/>
          <w:sz w:val="20"/>
          <w:szCs w:val="20"/>
        </w:rPr>
        <w:t xml:space="preserve">la bilirubine conjuguée est </w:t>
      </w:r>
      <w:r w:rsidR="001F1C73" w:rsidRPr="001F1C73">
        <w:rPr>
          <w:rFonts w:ascii="Times New Roman" w:hAnsi="Times New Roman" w:cs="Times New Roman"/>
          <w:sz w:val="20"/>
          <w:szCs w:val="20"/>
        </w:rPr>
        <w:t xml:space="preserve">facilement filtrée au niveau du glomérule et peut apparaître dans l'urine dans les troubles caractérisés par une augmentation des conjugués de bilirubine dans la circulation. </w:t>
      </w:r>
      <w:r w:rsidR="008D42EF">
        <w:rPr>
          <w:rFonts w:ascii="Times New Roman" w:hAnsi="Times New Roman" w:cs="Times New Roman"/>
          <w:sz w:val="20"/>
          <w:szCs w:val="20"/>
        </w:rPr>
        <w:t xml:space="preserve">À l'état sain, on trouve dans l'urine la fraction résumée d'urobiline (dérivé de l'urobilinogène) et de stercobiline (dérivé du stercobilinogène), connues sous le nom de </w:t>
      </w:r>
      <w:r w:rsidR="008D42EF" w:rsidRPr="008D42EF">
        <w:rPr>
          <w:rFonts w:ascii="Times New Roman" w:hAnsi="Times New Roman" w:cs="Times New Roman"/>
          <w:i/>
          <w:sz w:val="20"/>
          <w:szCs w:val="20"/>
        </w:rPr>
        <w:t xml:space="preserve">corps urobilinoïdes. </w:t>
      </w:r>
    </w:p>
    <w:p w14:paraId="72A021CE" w14:textId="77777777" w:rsidR="005D364D" w:rsidRPr="008D42EF" w:rsidRDefault="005D364D" w:rsidP="00540A2E">
      <w:pPr>
        <w:autoSpaceDE w:val="0"/>
        <w:autoSpaceDN w:val="0"/>
        <w:adjustRightInd w:val="0"/>
        <w:spacing w:after="0" w:line="240" w:lineRule="auto"/>
        <w:ind w:firstLine="720"/>
        <w:jc w:val="both"/>
        <w:rPr>
          <w:rFonts w:ascii="Times New Roman" w:hAnsi="Times New Roman" w:cs="Times New Roman"/>
          <w:sz w:val="20"/>
          <w:szCs w:val="20"/>
        </w:rPr>
      </w:pPr>
      <w:r w:rsidRPr="008D42EF">
        <w:rPr>
          <w:rFonts w:ascii="Times New Roman" w:hAnsi="Times New Roman" w:cs="Times New Roman"/>
          <w:sz w:val="20"/>
          <w:szCs w:val="20"/>
        </w:rPr>
        <w:t xml:space="preserve">Seule une petite quantité de bilirubine est présente dans le sang ; le taux normal de bilirubine sérique totale est compris entre 0,1 et 1,2 mg/dl. Les mesures de laboratoire de la bilirubine mesurent généralement la </w:t>
      </w:r>
      <w:r w:rsidR="008D42EF">
        <w:rPr>
          <w:rFonts w:ascii="Times New Roman" w:hAnsi="Times New Roman" w:cs="Times New Roman"/>
          <w:sz w:val="20"/>
          <w:szCs w:val="20"/>
        </w:rPr>
        <w:t>bilirubine</w:t>
      </w:r>
      <w:r w:rsidRPr="008D42EF">
        <w:rPr>
          <w:rFonts w:ascii="Times New Roman" w:hAnsi="Times New Roman" w:cs="Times New Roman"/>
          <w:sz w:val="20"/>
          <w:szCs w:val="20"/>
        </w:rPr>
        <w:t xml:space="preserve"> libre </w:t>
      </w:r>
      <w:r w:rsidR="008D42EF">
        <w:rPr>
          <w:rFonts w:ascii="Times New Roman" w:hAnsi="Times New Roman" w:cs="Times New Roman"/>
          <w:sz w:val="20"/>
          <w:szCs w:val="20"/>
        </w:rPr>
        <w:t>(</w:t>
      </w:r>
      <w:r w:rsidR="008D42EF" w:rsidRPr="008D42EF">
        <w:rPr>
          <w:rFonts w:ascii="Times New Roman" w:hAnsi="Times New Roman" w:cs="Times New Roman"/>
          <w:sz w:val="20"/>
          <w:szCs w:val="20"/>
        </w:rPr>
        <w:t xml:space="preserve">indirecte </w:t>
      </w:r>
      <w:r w:rsidR="008D42EF">
        <w:rPr>
          <w:rFonts w:ascii="Times New Roman" w:hAnsi="Times New Roman" w:cs="Times New Roman"/>
          <w:sz w:val="20"/>
          <w:szCs w:val="20"/>
        </w:rPr>
        <w:t xml:space="preserve">ou </w:t>
      </w:r>
      <w:r w:rsidR="008D42EF" w:rsidRPr="008D42EF">
        <w:rPr>
          <w:rFonts w:ascii="Times New Roman" w:hAnsi="Times New Roman" w:cs="Times New Roman"/>
          <w:sz w:val="20"/>
          <w:szCs w:val="20"/>
        </w:rPr>
        <w:t xml:space="preserve">non </w:t>
      </w:r>
      <w:r w:rsidR="008D42EF">
        <w:rPr>
          <w:rFonts w:ascii="Times New Roman" w:hAnsi="Times New Roman" w:cs="Times New Roman"/>
          <w:sz w:val="20"/>
          <w:szCs w:val="20"/>
        </w:rPr>
        <w:t xml:space="preserve">conjuguée) </w:t>
      </w:r>
      <w:r w:rsidRPr="008D42EF">
        <w:rPr>
          <w:rFonts w:ascii="Times New Roman" w:hAnsi="Times New Roman" w:cs="Times New Roman"/>
          <w:sz w:val="20"/>
          <w:szCs w:val="20"/>
        </w:rPr>
        <w:t xml:space="preserve">et la bilirubine conjuguée </w:t>
      </w:r>
      <w:r w:rsidR="008D42EF">
        <w:rPr>
          <w:rFonts w:ascii="Times New Roman" w:hAnsi="Times New Roman" w:cs="Times New Roman"/>
          <w:sz w:val="20"/>
          <w:szCs w:val="20"/>
        </w:rPr>
        <w:t>(directe)</w:t>
      </w:r>
      <w:r w:rsidRPr="008D42EF">
        <w:rPr>
          <w:rFonts w:ascii="Times New Roman" w:hAnsi="Times New Roman" w:cs="Times New Roman"/>
          <w:sz w:val="20"/>
          <w:szCs w:val="20"/>
        </w:rPr>
        <w:t xml:space="preserve">, ainsi que la bilirubine totale. </w:t>
      </w:r>
    </w:p>
    <w:p w14:paraId="043DE110" w14:textId="77777777" w:rsidR="005D364D" w:rsidRDefault="005D364D" w:rsidP="005D364D">
      <w:pPr>
        <w:autoSpaceDE w:val="0"/>
        <w:autoSpaceDN w:val="0"/>
        <w:adjustRightInd w:val="0"/>
        <w:spacing w:after="0" w:line="240" w:lineRule="auto"/>
        <w:ind w:firstLine="720"/>
        <w:jc w:val="both"/>
        <w:rPr>
          <w:rFonts w:ascii="Times New Roman" w:hAnsi="Times New Roman" w:cs="Times New Roman"/>
          <w:b/>
          <w:bCs/>
          <w:sz w:val="20"/>
          <w:szCs w:val="20"/>
        </w:rPr>
      </w:pPr>
    </w:p>
    <w:p w14:paraId="54EFD4CA" w14:textId="77777777" w:rsidR="005D364D" w:rsidRDefault="005D364D" w:rsidP="005D364D">
      <w:pPr>
        <w:pStyle w:val="Titlu1"/>
        <w:ind w:left="840"/>
        <w:rPr>
          <w:b/>
          <w:szCs w:val="24"/>
          <w:lang w:val="en-US"/>
        </w:rPr>
      </w:pPr>
      <w:r w:rsidRPr="00100B83">
        <w:rPr>
          <w:b/>
          <w:szCs w:val="24"/>
          <w:lang w:val="en-US"/>
        </w:rPr>
        <w:t xml:space="preserve">            Cholestase </w:t>
      </w:r>
    </w:p>
    <w:p w14:paraId="0FC32925" w14:textId="77777777" w:rsidR="005E17DA" w:rsidRDefault="00A23B27" w:rsidP="005E17DA">
      <w:pPr>
        <w:autoSpaceDE w:val="0"/>
        <w:autoSpaceDN w:val="0"/>
        <w:adjustRightInd w:val="0"/>
        <w:spacing w:after="0"/>
        <w:ind w:firstLine="720"/>
        <w:jc w:val="both"/>
        <w:rPr>
          <w:rFonts w:ascii="Times New Roman" w:hAnsi="Times New Roman" w:cs="Times New Roman"/>
          <w:sz w:val="24"/>
          <w:szCs w:val="24"/>
        </w:rPr>
      </w:pPr>
      <w:r w:rsidRPr="00A23B27">
        <w:rPr>
          <w:rFonts w:ascii="Times New Roman" w:hAnsi="Times New Roman" w:cs="Times New Roman"/>
          <w:i/>
          <w:sz w:val="24"/>
          <w:szCs w:val="24"/>
        </w:rPr>
        <w:t xml:space="preserve">La cholestase </w:t>
      </w:r>
      <w:r w:rsidRPr="00A23B27">
        <w:rPr>
          <w:rFonts w:ascii="Times New Roman" w:hAnsi="Times New Roman" w:cs="Times New Roman"/>
          <w:sz w:val="24"/>
          <w:szCs w:val="24"/>
        </w:rPr>
        <w:t xml:space="preserve">se caractérise par une diminution du flux biliaire dans les canalicules intrahépatiques et une </w:t>
      </w:r>
      <w:r w:rsidR="00727C42">
        <w:rPr>
          <w:rFonts w:ascii="Times New Roman" w:hAnsi="Times New Roman" w:cs="Times New Roman"/>
          <w:sz w:val="24"/>
          <w:szCs w:val="24"/>
        </w:rPr>
        <w:t xml:space="preserve">réduction </w:t>
      </w:r>
      <w:r w:rsidRPr="00A23B27">
        <w:rPr>
          <w:rFonts w:ascii="Times New Roman" w:hAnsi="Times New Roman" w:cs="Times New Roman"/>
          <w:sz w:val="24"/>
          <w:szCs w:val="24"/>
        </w:rPr>
        <w:t xml:space="preserve">de la sécrétion d'eau, de bilirubine et d'acides biliaires par les hépatocytes. En conséquence, les substances normalement transférées vers la bile, notamment la bilirubine, le cholestérol et les acides biliaires, s'accumulent dans le sang, une affection connue sous le nom de </w:t>
      </w:r>
      <w:r w:rsidRPr="00A23B27">
        <w:rPr>
          <w:rFonts w:ascii="Times New Roman" w:hAnsi="Times New Roman" w:cs="Times New Roman"/>
          <w:i/>
          <w:sz w:val="24"/>
          <w:szCs w:val="24"/>
        </w:rPr>
        <w:t>cholémie</w:t>
      </w:r>
      <w:r w:rsidRPr="00A23B27">
        <w:rPr>
          <w:rFonts w:ascii="Times New Roman" w:hAnsi="Times New Roman" w:cs="Times New Roman"/>
          <w:sz w:val="24"/>
          <w:szCs w:val="24"/>
        </w:rPr>
        <w:t>.</w:t>
      </w:r>
    </w:p>
    <w:p w14:paraId="4D0E2929" w14:textId="77777777" w:rsidR="004B419A" w:rsidRDefault="00A23B27" w:rsidP="004B419A">
      <w:pPr>
        <w:autoSpaceDE w:val="0"/>
        <w:autoSpaceDN w:val="0"/>
        <w:adjustRightInd w:val="0"/>
        <w:spacing w:after="0"/>
        <w:ind w:firstLine="720"/>
        <w:jc w:val="both"/>
        <w:rPr>
          <w:rFonts w:ascii="Times New Roman" w:hAnsi="Times New Roman" w:cs="Times New Roman"/>
          <w:color w:val="C00000"/>
          <w:sz w:val="24"/>
          <w:szCs w:val="24"/>
        </w:rPr>
      </w:pPr>
      <w:r w:rsidRPr="005E17DA">
        <w:rPr>
          <w:rFonts w:ascii="Times New Roman" w:hAnsi="Times New Roman" w:cs="Times New Roman"/>
          <w:sz w:val="24"/>
          <w:szCs w:val="24"/>
        </w:rPr>
        <w:t xml:space="preserve">Cette affection peut être causée par une maladie hépatique intrinsèque, auquel cas on parle de </w:t>
      </w:r>
      <w:r w:rsidRPr="005E17DA">
        <w:rPr>
          <w:rFonts w:ascii="Times New Roman" w:hAnsi="Times New Roman" w:cs="Times New Roman"/>
          <w:i/>
          <w:iCs/>
          <w:sz w:val="24"/>
          <w:szCs w:val="24"/>
        </w:rPr>
        <w:t xml:space="preserve">cholestase intrahépatique, </w:t>
      </w:r>
      <w:r w:rsidRPr="005E17DA">
        <w:rPr>
          <w:rFonts w:ascii="Times New Roman" w:hAnsi="Times New Roman" w:cs="Times New Roman"/>
          <w:sz w:val="24"/>
          <w:szCs w:val="24"/>
        </w:rPr>
        <w:t xml:space="preserve">ou par une obstruction des gros canaux biliaires, une affection connue sous le nom de </w:t>
      </w:r>
      <w:r w:rsidRPr="005E17DA">
        <w:rPr>
          <w:rFonts w:ascii="Times New Roman" w:hAnsi="Times New Roman" w:cs="Times New Roman"/>
          <w:i/>
          <w:iCs/>
          <w:sz w:val="24"/>
          <w:szCs w:val="24"/>
        </w:rPr>
        <w:t xml:space="preserve">cholestase extrahépatique. </w:t>
      </w:r>
      <w:r w:rsidRPr="005E17DA">
        <w:rPr>
          <w:rFonts w:ascii="Times New Roman" w:hAnsi="Times New Roman" w:cs="Times New Roman"/>
          <w:sz w:val="24"/>
          <w:szCs w:val="24"/>
        </w:rPr>
        <w:t>Plusieurs mécanismes sont impliqués dans la pathogenèse de la cholestase. La cirrhose biliaire primitive et la cholangite sclérosante primitive sont causées par des troubles des petits canalicules intrahépatiques et des voies biliaires</w:t>
      </w:r>
      <w:r w:rsidR="001158CD" w:rsidRPr="005E17DA">
        <w:rPr>
          <w:rFonts w:ascii="Times New Roman" w:hAnsi="Times New Roman" w:cs="Times New Roman"/>
          <w:sz w:val="24"/>
          <w:szCs w:val="24"/>
        </w:rPr>
        <w:t xml:space="preserve">, qui entraînent une cholestase intrahépatique. Les troubles génétiques impliquant le transport de la bile dans les canalicules peuvent également entraîner une cholestase intrahépatique. </w:t>
      </w:r>
    </w:p>
    <w:p w14:paraId="334DF6FE" w14:textId="77777777" w:rsidR="00A23B27" w:rsidRPr="004B419A" w:rsidRDefault="004B419A" w:rsidP="004B419A">
      <w:pPr>
        <w:autoSpaceDE w:val="0"/>
        <w:autoSpaceDN w:val="0"/>
        <w:adjustRightInd w:val="0"/>
        <w:spacing w:after="0"/>
        <w:ind w:firstLine="720"/>
        <w:jc w:val="both"/>
        <w:rPr>
          <w:rFonts w:ascii="Times New Roman" w:hAnsi="Times New Roman" w:cs="Times New Roman"/>
          <w:i/>
          <w:iCs/>
          <w:sz w:val="24"/>
          <w:szCs w:val="24"/>
        </w:rPr>
      </w:pPr>
      <w:r w:rsidRPr="004B419A">
        <w:rPr>
          <w:rFonts w:ascii="Times New Roman" w:hAnsi="Times New Roman" w:cs="Times New Roman"/>
          <w:sz w:val="24"/>
          <w:szCs w:val="24"/>
        </w:rPr>
        <w:t>Tous les types de cholestase obstructive et hépatocellulaire ont en commun l'accumulation de pigments biliaires dans le foie. Des bouchons biliaires allongés de couleur vert-brun sont visibles dans les canalicules biliaires dilatés. La rupture des canalicules entraîne une extravasation de la bile et des modifications dégénératives subséquentes dans les hépatocytes environnants.</w:t>
      </w:r>
      <w:r w:rsidRPr="00DB5B97">
        <w:rPr>
          <w:rFonts w:ascii="Times New Roman" w:hAnsi="Times New Roman" w:cs="Times New Roman"/>
          <w:color w:val="FF0000"/>
          <w:sz w:val="24"/>
          <w:szCs w:val="24"/>
        </w:rPr>
        <w:t xml:space="preserve"> </w:t>
      </w:r>
      <w:r w:rsidR="001158CD" w:rsidRPr="005E17DA">
        <w:rPr>
          <w:rFonts w:ascii="Times New Roman" w:hAnsi="Times New Roman" w:cs="Times New Roman"/>
          <w:sz w:val="24"/>
          <w:szCs w:val="24"/>
        </w:rPr>
        <w:t xml:space="preserve">En raison de la cholestase intrahépatique, la concentration d'acides biliaires dans les cellules hépatiques augmente, principalement </w:t>
      </w:r>
      <w:r w:rsidR="00727C42" w:rsidRPr="005E17DA">
        <w:rPr>
          <w:rFonts w:ascii="Times New Roman" w:hAnsi="Times New Roman" w:cs="Times New Roman"/>
          <w:sz w:val="24"/>
          <w:szCs w:val="24"/>
        </w:rPr>
        <w:t xml:space="preserve">l'acide </w:t>
      </w:r>
      <w:r w:rsidRPr="005E17DA">
        <w:rPr>
          <w:rFonts w:ascii="Times New Roman" w:hAnsi="Times New Roman" w:cs="Times New Roman"/>
          <w:sz w:val="24"/>
          <w:szCs w:val="24"/>
        </w:rPr>
        <w:t>chénodésoxycholique</w:t>
      </w:r>
      <w:r w:rsidR="001158CD" w:rsidRPr="005E17DA">
        <w:rPr>
          <w:rFonts w:ascii="Times New Roman" w:hAnsi="Times New Roman" w:cs="Times New Roman"/>
          <w:sz w:val="24"/>
          <w:szCs w:val="24"/>
        </w:rPr>
        <w:t xml:space="preserve">, </w:t>
      </w:r>
      <w:r w:rsidR="00727C42" w:rsidRPr="005E17DA">
        <w:rPr>
          <w:rFonts w:ascii="Times New Roman" w:hAnsi="Times New Roman" w:cs="Times New Roman"/>
          <w:sz w:val="24"/>
          <w:szCs w:val="24"/>
        </w:rPr>
        <w:t xml:space="preserve">ce qui </w:t>
      </w:r>
      <w:r w:rsidR="001158CD" w:rsidRPr="005E17DA">
        <w:rPr>
          <w:rFonts w:ascii="Times New Roman" w:hAnsi="Times New Roman" w:cs="Times New Roman"/>
          <w:sz w:val="24"/>
          <w:szCs w:val="24"/>
        </w:rPr>
        <w:t xml:space="preserve">entraîne des modifications de la membrane d' e des hépatocytes et leur lésion, ainsi que l'inhibition de la cholestérol-hydroxylase, une enzyme responsable de la synthèse des acides biliaires. Il en résulte une réduction de la synthèse des acides biliaires avec toutes les conséquences caractéristiques. </w:t>
      </w:r>
      <w:r w:rsidR="00A23B27" w:rsidRPr="005E17DA">
        <w:rPr>
          <w:rFonts w:ascii="Times New Roman" w:hAnsi="Times New Roman" w:cs="Times New Roman"/>
          <w:sz w:val="24"/>
          <w:szCs w:val="24"/>
        </w:rPr>
        <w:t xml:space="preserve">En cas d'obstruction extrahépatique, telle que celle causée par des affections telles que la cholélithiase, les sténoses du canal cholédoque ou les néoplasmes obstructifs, les effets commencent par une augmentation de la pression dans les gros canaux biliaires. </w:t>
      </w:r>
    </w:p>
    <w:p w14:paraId="510933BB" w14:textId="77777777" w:rsidR="00727C42" w:rsidRDefault="00DB5B97" w:rsidP="00727C42">
      <w:pPr>
        <w:autoSpaceDE w:val="0"/>
        <w:autoSpaceDN w:val="0"/>
        <w:adjustRightInd w:val="0"/>
        <w:spacing w:after="0"/>
        <w:ind w:firstLine="720"/>
        <w:jc w:val="both"/>
        <w:rPr>
          <w:rFonts w:ascii="Times New Roman" w:hAnsi="Times New Roman" w:cs="Times New Roman"/>
          <w:sz w:val="24"/>
          <w:szCs w:val="24"/>
        </w:rPr>
      </w:pPr>
      <w:r w:rsidRPr="00BA2D21">
        <w:rPr>
          <w:rFonts w:ascii="Times New Roman" w:hAnsi="Times New Roman" w:cs="Times New Roman"/>
          <w:sz w:val="24"/>
          <w:szCs w:val="24"/>
        </w:rPr>
        <w:t xml:space="preserve">Dans la cholestase, les canalicules biliaires sont dilatés, la </w:t>
      </w:r>
      <w:r w:rsidRPr="00BA2D21">
        <w:rPr>
          <w:rFonts w:ascii="Times New Roman" w:hAnsi="Times New Roman" w:cs="Times New Roman"/>
          <w:i/>
          <w:iCs/>
          <w:sz w:val="24"/>
          <w:szCs w:val="24"/>
        </w:rPr>
        <w:t xml:space="preserve">fluidité </w:t>
      </w:r>
      <w:r w:rsidRPr="00BA2D21">
        <w:rPr>
          <w:rFonts w:ascii="Times New Roman" w:hAnsi="Times New Roman" w:cs="Times New Roman"/>
          <w:sz w:val="24"/>
          <w:szCs w:val="24"/>
        </w:rPr>
        <w:t xml:space="preserve">de la </w:t>
      </w:r>
      <w:r w:rsidRPr="00BA2D21">
        <w:rPr>
          <w:rFonts w:ascii="Times New Roman" w:hAnsi="Times New Roman" w:cs="Times New Roman"/>
          <w:bCs/>
          <w:sz w:val="24"/>
          <w:szCs w:val="24"/>
        </w:rPr>
        <w:t>membrane cellulaire</w:t>
      </w:r>
      <w:r w:rsidRPr="00BA2D21">
        <w:rPr>
          <w:rFonts w:ascii="Times New Roman" w:hAnsi="Times New Roman" w:cs="Times New Roman"/>
          <w:sz w:val="24"/>
          <w:szCs w:val="24"/>
        </w:rPr>
        <w:t xml:space="preserve"> canaliculaire est réduite (incorporation de cholestérol, effet des sels biliaires), leur bordure en brosse est déformée (ou totalement absente) et la fonction du cytosquelette, y compris </w:t>
      </w:r>
      <w:r w:rsidRPr="00BA2D21">
        <w:rPr>
          <w:rFonts w:ascii="Times New Roman" w:hAnsi="Times New Roman" w:cs="Times New Roman"/>
          <w:i/>
          <w:iCs/>
          <w:sz w:val="24"/>
          <w:szCs w:val="24"/>
        </w:rPr>
        <w:t>la motilité canaliculaire</w:t>
      </w:r>
      <w:r w:rsidRPr="00BA2D21">
        <w:rPr>
          <w:rFonts w:ascii="Times New Roman" w:hAnsi="Times New Roman" w:cs="Times New Roman"/>
          <w:sz w:val="24"/>
          <w:szCs w:val="24"/>
        </w:rPr>
        <w:t xml:space="preserve">, est perturbée. Les sels biliaires retenus augmentent la perméabilité des </w:t>
      </w:r>
      <w:r w:rsidRPr="00BA2D21">
        <w:rPr>
          <w:rFonts w:ascii="Times New Roman" w:hAnsi="Times New Roman" w:cs="Times New Roman"/>
          <w:bCs/>
          <w:sz w:val="24"/>
          <w:szCs w:val="24"/>
        </w:rPr>
        <w:t xml:space="preserve">jonctions serrées </w:t>
      </w:r>
      <w:r w:rsidRPr="00BA2D21">
        <w:rPr>
          <w:rFonts w:ascii="Times New Roman" w:hAnsi="Times New Roman" w:cs="Times New Roman"/>
          <w:sz w:val="24"/>
          <w:szCs w:val="24"/>
        </w:rPr>
        <w:t xml:space="preserve">et réduisent </w:t>
      </w:r>
      <w:r w:rsidRPr="00BA2D21">
        <w:rPr>
          <w:rFonts w:ascii="Times New Roman" w:hAnsi="Times New Roman" w:cs="Times New Roman"/>
          <w:bCs/>
          <w:sz w:val="24"/>
          <w:szCs w:val="24"/>
        </w:rPr>
        <w:t>la synthèse d'ATP</w:t>
      </w:r>
      <w:r w:rsidRPr="00BA2D21">
        <w:rPr>
          <w:rFonts w:ascii="Times New Roman" w:hAnsi="Times New Roman" w:cs="Times New Roman"/>
          <w:sz w:val="24"/>
          <w:szCs w:val="24"/>
        </w:rPr>
        <w:t xml:space="preserve"> mitochondriale. </w:t>
      </w:r>
      <w:r w:rsidR="00A23B27" w:rsidRPr="004B419A">
        <w:rPr>
          <w:rFonts w:ascii="Times New Roman" w:hAnsi="Times New Roman" w:cs="Times New Roman"/>
          <w:sz w:val="24"/>
          <w:szCs w:val="24"/>
        </w:rPr>
        <w:t xml:space="preserve">Une cholestase obstructive prolongée entraîne non seulement des modifications graisseuses dans les hépatocytes, mais aussi la destruction du tissu conjonctif de soutien, donnant naissance à des lacs biliaires remplis de débris cellulaires et de pigments. </w:t>
      </w:r>
    </w:p>
    <w:p w14:paraId="69127562" w14:textId="77777777" w:rsidR="005D364D" w:rsidRDefault="00DB5B97" w:rsidP="00381DA1">
      <w:pPr>
        <w:autoSpaceDE w:val="0"/>
        <w:autoSpaceDN w:val="0"/>
        <w:adjustRightInd w:val="0"/>
        <w:spacing w:after="0"/>
        <w:ind w:firstLine="720"/>
        <w:jc w:val="both"/>
        <w:rPr>
          <w:rFonts w:ascii="Times New Roman" w:hAnsi="Times New Roman" w:cs="Times New Roman"/>
          <w:sz w:val="24"/>
          <w:szCs w:val="24"/>
        </w:rPr>
      </w:pPr>
      <w:r w:rsidRPr="00727C42">
        <w:rPr>
          <w:rFonts w:ascii="Times New Roman" w:hAnsi="Times New Roman" w:cs="Times New Roman"/>
          <w:sz w:val="24"/>
          <w:szCs w:val="24"/>
        </w:rPr>
        <w:t xml:space="preserve">La plupart des </w:t>
      </w:r>
      <w:r w:rsidRPr="00727C42">
        <w:rPr>
          <w:rFonts w:ascii="Times New Roman" w:hAnsi="Times New Roman" w:cs="Times New Roman"/>
          <w:bCs/>
          <w:sz w:val="24"/>
          <w:szCs w:val="24"/>
        </w:rPr>
        <w:t xml:space="preserve">conséquences de la cholestase </w:t>
      </w:r>
      <w:r w:rsidRPr="00727C42">
        <w:rPr>
          <w:rFonts w:ascii="Times New Roman" w:hAnsi="Times New Roman" w:cs="Times New Roman"/>
          <w:sz w:val="24"/>
          <w:szCs w:val="24"/>
        </w:rPr>
        <w:t xml:space="preserve">sont le résultat de </w:t>
      </w:r>
      <w:r w:rsidRPr="00727C42">
        <w:rPr>
          <w:rFonts w:ascii="Times New Roman" w:hAnsi="Times New Roman" w:cs="Times New Roman"/>
          <w:bCs/>
          <w:sz w:val="24"/>
          <w:szCs w:val="24"/>
        </w:rPr>
        <w:t xml:space="preserve">la rétention des composants biliaires : </w:t>
      </w:r>
      <w:r w:rsidRPr="00727C42">
        <w:rPr>
          <w:rFonts w:ascii="Times New Roman" w:hAnsi="Times New Roman" w:cs="Times New Roman"/>
          <w:sz w:val="24"/>
          <w:szCs w:val="24"/>
        </w:rPr>
        <w:t xml:space="preserve">la bilirubine entraîne </w:t>
      </w:r>
      <w:r w:rsidRPr="00727C42">
        <w:rPr>
          <w:rFonts w:ascii="Times New Roman" w:hAnsi="Times New Roman" w:cs="Times New Roman"/>
          <w:iCs/>
          <w:sz w:val="24"/>
          <w:szCs w:val="24"/>
        </w:rPr>
        <w:t xml:space="preserve">une jaunisse </w:t>
      </w:r>
      <w:r w:rsidRPr="00727C42">
        <w:rPr>
          <w:rFonts w:ascii="Times New Roman" w:hAnsi="Times New Roman" w:cs="Times New Roman"/>
          <w:sz w:val="24"/>
          <w:szCs w:val="24"/>
        </w:rPr>
        <w:t>(chez les nouveau-nés, il existe un risque d'ictère nucléaire)</w:t>
      </w:r>
      <w:r w:rsidR="00727C42" w:rsidRPr="00727C42">
        <w:rPr>
          <w:rFonts w:ascii="Times New Roman" w:hAnsi="Times New Roman" w:cs="Times New Roman"/>
          <w:sz w:val="24"/>
          <w:szCs w:val="24"/>
        </w:rPr>
        <w:t xml:space="preserve">. Des xanthomes cutanés (accumulations focales de cholestérol) peuvent apparaître, résultant d'une hyperlipidémie et d'une altération de l'excrétion du cholestérol. Le prurit est le symptôme le plus fréquent chez les personnes atteintes de cholestase, probablement lié à une élévation des acides biliaires plasmatiques, ainsi qu'aux effets de la rétention </w:t>
      </w:r>
      <w:r w:rsidR="00727C42" w:rsidRPr="00727C42">
        <w:rPr>
          <w:rFonts w:ascii="Times New Roman" w:hAnsi="Times New Roman" w:cs="Times New Roman"/>
          <w:iCs/>
          <w:sz w:val="24"/>
          <w:szCs w:val="24"/>
        </w:rPr>
        <w:t>d'endorphines</w:t>
      </w:r>
      <w:r w:rsidR="00727C42" w:rsidRPr="00727C42">
        <w:rPr>
          <w:rFonts w:ascii="Times New Roman" w:hAnsi="Times New Roman" w:cs="Times New Roman"/>
          <w:sz w:val="24"/>
          <w:szCs w:val="24"/>
        </w:rPr>
        <w:t xml:space="preserve">. </w:t>
      </w:r>
      <w:r w:rsidRPr="00727C42">
        <w:rPr>
          <w:rFonts w:ascii="Times New Roman" w:hAnsi="Times New Roman" w:cs="Times New Roman"/>
          <w:bCs/>
          <w:sz w:val="24"/>
          <w:szCs w:val="24"/>
        </w:rPr>
        <w:t xml:space="preserve">L'absence de bile dans l'intestin </w:t>
      </w:r>
      <w:r w:rsidRPr="00727C42">
        <w:rPr>
          <w:rFonts w:ascii="Times New Roman" w:hAnsi="Times New Roman" w:cs="Times New Roman"/>
          <w:sz w:val="24"/>
          <w:szCs w:val="24"/>
        </w:rPr>
        <w:t xml:space="preserve">entraîne </w:t>
      </w:r>
      <w:r w:rsidRPr="00727C42">
        <w:rPr>
          <w:rFonts w:ascii="Times New Roman" w:hAnsi="Times New Roman" w:cs="Times New Roman"/>
          <w:iCs/>
          <w:sz w:val="24"/>
          <w:szCs w:val="24"/>
        </w:rPr>
        <w:t xml:space="preserve">des selles grasses </w:t>
      </w:r>
      <w:r w:rsidR="00727C42">
        <w:rPr>
          <w:rFonts w:ascii="Times New Roman" w:hAnsi="Times New Roman" w:cs="Times New Roman"/>
          <w:iCs/>
          <w:sz w:val="24"/>
          <w:szCs w:val="24"/>
        </w:rPr>
        <w:t xml:space="preserve">(stéatorrhée) </w:t>
      </w:r>
      <w:r w:rsidRPr="00727C42">
        <w:rPr>
          <w:rFonts w:ascii="Times New Roman" w:hAnsi="Times New Roman" w:cs="Times New Roman"/>
          <w:sz w:val="24"/>
          <w:szCs w:val="24"/>
        </w:rPr>
        <w:t xml:space="preserve">et </w:t>
      </w:r>
      <w:r w:rsidR="00727C42" w:rsidRPr="00727C42">
        <w:rPr>
          <w:rFonts w:ascii="Times New Roman" w:hAnsi="Times New Roman" w:cs="Times New Roman"/>
          <w:iCs/>
          <w:sz w:val="24"/>
          <w:szCs w:val="24"/>
        </w:rPr>
        <w:t>une</w:t>
      </w:r>
      <w:r w:rsidRPr="00727C42">
        <w:rPr>
          <w:rFonts w:ascii="Times New Roman" w:hAnsi="Times New Roman" w:cs="Times New Roman"/>
          <w:iCs/>
          <w:sz w:val="24"/>
          <w:szCs w:val="24"/>
        </w:rPr>
        <w:t xml:space="preserve"> malabsorption </w:t>
      </w:r>
      <w:r w:rsidR="00727C42" w:rsidRPr="00727C42">
        <w:rPr>
          <w:rFonts w:ascii="Times New Roman" w:hAnsi="Times New Roman" w:cs="Times New Roman"/>
          <w:iCs/>
          <w:sz w:val="24"/>
          <w:szCs w:val="24"/>
        </w:rPr>
        <w:t>(y compris des vitamines liposolubles)</w:t>
      </w:r>
      <w:r w:rsidRPr="00727C42">
        <w:rPr>
          <w:rFonts w:ascii="Times New Roman" w:hAnsi="Times New Roman" w:cs="Times New Roman"/>
          <w:sz w:val="24"/>
          <w:szCs w:val="24"/>
        </w:rPr>
        <w:t xml:space="preserve">. Enfin, l'infection de la bile accumulée entraîne </w:t>
      </w:r>
      <w:r w:rsidRPr="00727C42">
        <w:rPr>
          <w:rFonts w:ascii="Times New Roman" w:hAnsi="Times New Roman" w:cs="Times New Roman"/>
          <w:iCs/>
          <w:sz w:val="24"/>
          <w:szCs w:val="24"/>
        </w:rPr>
        <w:t>une cholangite</w:t>
      </w:r>
      <w:r w:rsidRPr="00727C42">
        <w:rPr>
          <w:rFonts w:ascii="Times New Roman" w:hAnsi="Times New Roman" w:cs="Times New Roman"/>
          <w:sz w:val="24"/>
          <w:szCs w:val="24"/>
        </w:rPr>
        <w:t xml:space="preserve">, qui a son propre effet cholestatique. </w:t>
      </w:r>
      <w:r w:rsidR="00A23B27" w:rsidRPr="00727C42">
        <w:rPr>
          <w:rFonts w:ascii="Times New Roman" w:hAnsi="Times New Roman" w:cs="Times New Roman"/>
          <w:sz w:val="24"/>
          <w:szCs w:val="24"/>
        </w:rPr>
        <w:t xml:space="preserve">Un résultat caractéristique en laboratoire est un </w:t>
      </w:r>
      <w:r w:rsidR="00381DA1">
        <w:rPr>
          <w:rFonts w:ascii="Times New Roman" w:hAnsi="Times New Roman" w:cs="Times New Roman"/>
          <w:sz w:val="24"/>
          <w:szCs w:val="24"/>
        </w:rPr>
        <w:t>taux</w:t>
      </w:r>
      <w:r w:rsidR="00A23B27" w:rsidRPr="00727C42">
        <w:rPr>
          <w:rFonts w:ascii="Times New Roman" w:hAnsi="Times New Roman" w:cs="Times New Roman"/>
          <w:sz w:val="24"/>
          <w:szCs w:val="24"/>
        </w:rPr>
        <w:t xml:space="preserve"> élevé </w:t>
      </w:r>
      <w:r w:rsidR="00381DA1">
        <w:rPr>
          <w:rFonts w:ascii="Times New Roman" w:hAnsi="Times New Roman" w:cs="Times New Roman"/>
          <w:sz w:val="24"/>
          <w:szCs w:val="24"/>
        </w:rPr>
        <w:t xml:space="preserve">de </w:t>
      </w:r>
      <w:r w:rsidR="00A23B27" w:rsidRPr="00381DA1">
        <w:rPr>
          <w:rFonts w:ascii="Times New Roman" w:hAnsi="Times New Roman" w:cs="Times New Roman"/>
          <w:i/>
          <w:sz w:val="24"/>
          <w:szCs w:val="24"/>
        </w:rPr>
        <w:t>phosphatase alcaline</w:t>
      </w:r>
      <w:r w:rsidR="00A23B27" w:rsidRPr="00727C42">
        <w:rPr>
          <w:rFonts w:ascii="Times New Roman" w:hAnsi="Times New Roman" w:cs="Times New Roman"/>
          <w:sz w:val="24"/>
          <w:szCs w:val="24"/>
        </w:rPr>
        <w:t xml:space="preserve"> sérique</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 xml:space="preserve">La phosphatase alcaline est produite par l'épithélium des voies biliaires et les membranes canaliculaires des hépatocytes et </w:t>
      </w:r>
      <w:r w:rsidR="00381DA1">
        <w:rPr>
          <w:rFonts w:ascii="Times New Roman" w:hAnsi="Times New Roman" w:cs="Times New Roman"/>
          <w:sz w:val="24"/>
          <w:szCs w:val="24"/>
        </w:rPr>
        <w:t xml:space="preserve">est </w:t>
      </w:r>
      <w:r w:rsidR="00381DA1" w:rsidRPr="00381DA1">
        <w:rPr>
          <w:rFonts w:ascii="Times New Roman" w:hAnsi="Times New Roman" w:cs="Times New Roman"/>
          <w:sz w:val="24"/>
          <w:szCs w:val="24"/>
        </w:rPr>
        <w:t>excrétée avec la bile ; lorsque le flux biliaire est obstrué, le taux de phosphatase alcaline dans le sang augmente.</w:t>
      </w:r>
    </w:p>
    <w:p w14:paraId="042E1263" w14:textId="77777777" w:rsidR="00381DA1" w:rsidRPr="00381DA1" w:rsidRDefault="00381DA1" w:rsidP="00381DA1">
      <w:pPr>
        <w:autoSpaceDE w:val="0"/>
        <w:autoSpaceDN w:val="0"/>
        <w:adjustRightInd w:val="0"/>
        <w:spacing w:after="0"/>
        <w:ind w:firstLine="720"/>
        <w:jc w:val="both"/>
        <w:rPr>
          <w:rFonts w:ascii="Times New Roman" w:hAnsi="Times New Roman" w:cs="Times New Roman"/>
          <w:sz w:val="24"/>
          <w:szCs w:val="24"/>
        </w:rPr>
      </w:pPr>
    </w:p>
    <w:p w14:paraId="76841503" w14:textId="77777777" w:rsidR="005D364D" w:rsidRPr="00233A84" w:rsidRDefault="005D364D" w:rsidP="00BF543B">
      <w:pPr>
        <w:pStyle w:val="Titlu1"/>
        <w:spacing w:line="276" w:lineRule="auto"/>
        <w:rPr>
          <w:lang w:val="en-US"/>
        </w:rPr>
      </w:pPr>
      <w:r w:rsidRPr="007360AC">
        <w:rPr>
          <w:i/>
          <w:lang w:val="en-US"/>
        </w:rPr>
        <w:t xml:space="preserve">           La cholémie </w:t>
      </w:r>
      <w:r w:rsidRPr="00233A84">
        <w:rPr>
          <w:lang w:val="en-US"/>
        </w:rPr>
        <w:t>est un syndrome complexe déterminé par la présence de bile dans le sang. Elle se caractérise par une augmentation de la concentration de tous les composants biliaires dans le sang : acides biliaires, bilirubine conjuguée, cholestérol, phospholipides, etc.</w:t>
      </w:r>
    </w:p>
    <w:p w14:paraId="44270502" w14:textId="77777777" w:rsidR="005D364D" w:rsidRPr="00233A84" w:rsidRDefault="005D364D" w:rsidP="00BF543B">
      <w:pPr>
        <w:pStyle w:val="Titlu1"/>
        <w:spacing w:line="276" w:lineRule="auto"/>
        <w:rPr>
          <w:lang w:val="en-US"/>
        </w:rPr>
      </w:pPr>
      <w:r>
        <w:rPr>
          <w:lang w:val="en-US"/>
        </w:rPr>
        <w:t xml:space="preserve">          </w:t>
      </w:r>
      <w:r w:rsidRPr="00233A84">
        <w:rPr>
          <w:lang w:val="en-US"/>
        </w:rPr>
        <w:t xml:space="preserve">  Les acides biliaires agissant sur le centre du nerf vague </w:t>
      </w:r>
      <w:r>
        <w:rPr>
          <w:lang w:val="en-US"/>
        </w:rPr>
        <w:t xml:space="preserve">ainsi qu'au niveau du </w:t>
      </w:r>
      <w:r w:rsidRPr="00233A84">
        <w:rPr>
          <w:lang w:val="en-US"/>
        </w:rPr>
        <w:t xml:space="preserve">nœud </w:t>
      </w:r>
      <w:r w:rsidR="00727C42">
        <w:rPr>
          <w:lang w:val="en-US"/>
        </w:rPr>
        <w:t>sino-auriculaire</w:t>
      </w:r>
      <w:r w:rsidRPr="00233A84">
        <w:rPr>
          <w:lang w:val="en-US"/>
        </w:rPr>
        <w:t xml:space="preserve">, entraînent une réduction des impulsions dans le nœud </w:t>
      </w:r>
      <w:r w:rsidR="00727C42">
        <w:rPr>
          <w:lang w:val="en-US"/>
        </w:rPr>
        <w:t xml:space="preserve">sino-auriculaire </w:t>
      </w:r>
      <w:r w:rsidRPr="00233A84">
        <w:rPr>
          <w:lang w:val="en-US"/>
        </w:rPr>
        <w:t xml:space="preserve">avec </w:t>
      </w:r>
      <w:r w:rsidR="00727C42" w:rsidRPr="00233A84">
        <w:rPr>
          <w:lang w:val="en-US"/>
        </w:rPr>
        <w:t>bradycardie</w:t>
      </w:r>
      <w:r w:rsidRPr="00233A84">
        <w:rPr>
          <w:lang w:val="en-US"/>
        </w:rPr>
        <w:t xml:space="preserve">, réduction du débit cardiaque et </w:t>
      </w:r>
      <w:r>
        <w:rPr>
          <w:lang w:val="en-US"/>
        </w:rPr>
        <w:t xml:space="preserve">collapsus </w:t>
      </w:r>
      <w:r w:rsidRPr="00233A84">
        <w:rPr>
          <w:lang w:val="en-US"/>
        </w:rPr>
        <w:t>(baisse de la pression artérielle). Les acides biliaires excitent les terminaisons nerveuses de la peau avec prurit. Les acides biliaires peuvent se lier aux ions Ca</w:t>
      </w:r>
      <w:r w:rsidRPr="006A6E25">
        <w:rPr>
          <w:vertAlign w:val="superscript"/>
          <w:lang w:val="en-US"/>
        </w:rPr>
        <w:t>+</w:t>
      </w:r>
      <w:r w:rsidRPr="00233A84">
        <w:rPr>
          <w:lang w:val="en-US"/>
        </w:rPr>
        <w:t>et entraîner des troubles de la coagulation.</w:t>
      </w:r>
    </w:p>
    <w:p w14:paraId="27F7ED61" w14:textId="77777777" w:rsidR="005D364D" w:rsidRDefault="005D364D" w:rsidP="00727C42">
      <w:pPr>
        <w:pStyle w:val="Titlu1"/>
        <w:spacing w:line="276" w:lineRule="auto"/>
        <w:rPr>
          <w:b/>
          <w:bCs/>
          <w:szCs w:val="24"/>
        </w:rPr>
      </w:pPr>
      <w:r w:rsidRPr="007360AC">
        <w:rPr>
          <w:i/>
          <w:lang w:val="en-US"/>
        </w:rPr>
        <w:t xml:space="preserve">            L'acholie </w:t>
      </w:r>
      <w:r w:rsidRPr="00233A84">
        <w:rPr>
          <w:lang w:val="en-US"/>
        </w:rPr>
        <w:t xml:space="preserve">est un état pathologique caractérisé par un blocage de la sécrétion biliaire dans le duodénum. Elle est généralement caractéristique d'une obstruction ou d'une compression des voies biliaires. Elle se caractérise par des troubles de l'émulsification des graisses, de la dégradation et de l'absorption des lipides dans </w:t>
      </w:r>
      <w:r>
        <w:rPr>
          <w:lang w:val="en-US"/>
        </w:rPr>
        <w:t xml:space="preserve">l'intestin </w:t>
      </w:r>
      <w:r w:rsidRPr="00233A84">
        <w:rPr>
          <w:lang w:val="en-US"/>
        </w:rPr>
        <w:t>et par le développement d'une mauvaise digestion, d'un syndrome de malabsorption accompagné de selles grasses (stéatorrhée).</w:t>
      </w:r>
      <w:r>
        <w:rPr>
          <w:lang w:val="en-US"/>
        </w:rPr>
        <w:t xml:space="preserve"> </w:t>
      </w:r>
      <w:r w:rsidRPr="00233A84">
        <w:rPr>
          <w:lang w:val="en-US"/>
        </w:rPr>
        <w:t xml:space="preserve">L'acholie s'accompagne de troubles </w:t>
      </w:r>
      <w:r>
        <w:rPr>
          <w:lang w:val="en-US"/>
        </w:rPr>
        <w:t>de l'absorption des vitamines liposolubles, principalement la vitamine K</w:t>
      </w:r>
      <w:r w:rsidRPr="00233A84">
        <w:rPr>
          <w:lang w:val="en-US"/>
        </w:rPr>
        <w:t xml:space="preserve">, ce qui entraîne une diminution </w:t>
      </w:r>
      <w:r w:rsidR="00727C42">
        <w:rPr>
          <w:lang w:val="en-US"/>
        </w:rPr>
        <w:t>de</w:t>
      </w:r>
      <w:r w:rsidRPr="00233A84">
        <w:rPr>
          <w:lang w:val="en-US"/>
        </w:rPr>
        <w:t xml:space="preserve"> la synthèse </w:t>
      </w:r>
      <w:r w:rsidR="00727C42">
        <w:rPr>
          <w:lang w:val="en-US"/>
        </w:rPr>
        <w:t xml:space="preserve">des facteurs de coagulation </w:t>
      </w:r>
      <w:r w:rsidRPr="00233A84">
        <w:rPr>
          <w:lang w:val="en-US"/>
        </w:rPr>
        <w:t xml:space="preserve">et </w:t>
      </w:r>
      <w:r>
        <w:rPr>
          <w:lang w:val="en-US"/>
        </w:rPr>
        <w:t xml:space="preserve">une hypocoagulation du sang. </w:t>
      </w:r>
    </w:p>
    <w:p w14:paraId="6D5A58EF" w14:textId="77777777" w:rsidR="005D364D"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14:paraId="3E12B997" w14:textId="77777777"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6F66BDEE" w14:textId="77777777"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539138C3" w14:textId="77777777" w:rsidR="00FE2114" w:rsidRDefault="00FE2114"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053B80DD" w14:textId="77777777" w:rsidR="00FE2114" w:rsidRDefault="00FE2114"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56CB409A" w14:textId="77777777"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4E7A3520" w14:textId="77777777"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14:paraId="4154FD05" w14:textId="77777777" w:rsidR="005E4505" w:rsidRPr="00727C42" w:rsidRDefault="008C5B9C" w:rsidP="00727C42">
      <w:pPr>
        <w:autoSpaceDE w:val="0"/>
        <w:autoSpaceDN w:val="0"/>
        <w:adjustRightInd w:val="0"/>
        <w:spacing w:after="0" w:line="240" w:lineRule="auto"/>
        <w:ind w:firstLine="720"/>
        <w:jc w:val="center"/>
        <w:rPr>
          <w:rFonts w:ascii="Times New Roman" w:hAnsi="Times New Roman" w:cs="Times New Roman"/>
          <w:b/>
          <w:sz w:val="28"/>
          <w:szCs w:val="28"/>
        </w:rPr>
      </w:pPr>
      <w:r w:rsidRPr="00727C42">
        <w:rPr>
          <w:rFonts w:ascii="Times New Roman" w:hAnsi="Times New Roman" w:cs="Times New Roman"/>
          <w:b/>
          <w:sz w:val="28"/>
          <w:szCs w:val="28"/>
        </w:rPr>
        <w:t xml:space="preserve">Physiopathologie de </w:t>
      </w:r>
      <w:r w:rsidR="00BF543B" w:rsidRPr="00727C42">
        <w:rPr>
          <w:rFonts w:ascii="Times New Roman" w:hAnsi="Times New Roman" w:cs="Times New Roman"/>
          <w:b/>
          <w:sz w:val="28"/>
          <w:szCs w:val="28"/>
        </w:rPr>
        <w:t>la jaunisse</w:t>
      </w:r>
    </w:p>
    <w:p w14:paraId="747B6DF9" w14:textId="77777777" w:rsidR="00F352A8" w:rsidRDefault="007B6495" w:rsidP="008C5B9C">
      <w:pPr>
        <w:pStyle w:val="Titlu1"/>
        <w:spacing w:line="276" w:lineRule="auto"/>
        <w:ind w:firstLine="720"/>
        <w:rPr>
          <w:szCs w:val="24"/>
        </w:rPr>
      </w:pPr>
      <w:r w:rsidRPr="007B6495">
        <w:rPr>
          <w:bCs/>
          <w:szCs w:val="24"/>
        </w:rPr>
        <w:t xml:space="preserve">La concentration plasmatique normale de bilirubine </w:t>
      </w:r>
      <w:r w:rsidRPr="007B6495">
        <w:rPr>
          <w:szCs w:val="24"/>
        </w:rPr>
        <w:t xml:space="preserve">est au maximum de 17 μmol/L (1 mg/dL). </w:t>
      </w:r>
      <w:r w:rsidR="005E4505" w:rsidRPr="005E4505">
        <w:rPr>
          <w:i/>
          <w:szCs w:val="24"/>
        </w:rPr>
        <w:t xml:space="preserve">La jaunisse </w:t>
      </w:r>
      <w:r w:rsidR="005E4505" w:rsidRPr="005E4505">
        <w:rPr>
          <w:szCs w:val="24"/>
        </w:rPr>
        <w:t xml:space="preserve">(ictère) résulte d'une accumulation anormalement élevée de bilirubine dans le sang, qui entraîne une coloration jaunâtre de la peau et des tissus profonds. </w:t>
      </w:r>
      <w:r w:rsidR="002B5D92">
        <w:rPr>
          <w:szCs w:val="24"/>
        </w:rPr>
        <w:t xml:space="preserve">La jaunisse devient évidente lorsque les taux sériques de bilirubine dépassent 2,0 à 2,5 mg/dL ; des taux pouvant atteindre 30 à 40 mg/dL peuvent être observés en cas de maladie grave. </w:t>
      </w:r>
      <w:r w:rsidRPr="004B2CCE">
        <w:rPr>
          <w:szCs w:val="24"/>
        </w:rPr>
        <w:t xml:space="preserve"> Si elle dépasse 30 μmol/L, la sclère devient jaune ; si la concentration augmente encore, la peau devient également jaune.</w:t>
      </w:r>
      <w:r>
        <w:rPr>
          <w:szCs w:val="24"/>
        </w:rPr>
        <w:t xml:space="preserve"> </w:t>
      </w:r>
      <w:r w:rsidR="005E4505" w:rsidRPr="005E4505">
        <w:rPr>
          <w:szCs w:val="24"/>
        </w:rPr>
        <w:t xml:space="preserve">La peau normale ayant une teinte jaunâtre, les premiers signes de jaunisse sont souvent difficiles à détecter, en particulier chez les personnes à la peau foncée. La bilirubine a une affinité particulière pour les tissus élastiques. La sclère de l'œil, qui contient une quantité importante de fibres élastiques, est généralement l'une des premières structures dans lesquelles la jaunisse peut être détectée. </w:t>
      </w:r>
    </w:p>
    <w:p w14:paraId="3E36DC66" w14:textId="77777777" w:rsidR="002B5D92" w:rsidRPr="00F352A8" w:rsidRDefault="00F352A8" w:rsidP="00F352A8">
      <w:pPr>
        <w:pStyle w:val="Titlu1"/>
        <w:spacing w:line="276" w:lineRule="auto"/>
        <w:ind w:firstLine="720"/>
        <w:rPr>
          <w:lang w:val="en-US"/>
        </w:rPr>
      </w:pPr>
      <w:r w:rsidRPr="00233A84">
        <w:rPr>
          <w:lang w:val="en-US"/>
        </w:rPr>
        <w:t xml:space="preserve">Une décoloration jaune de la peau peut également survenir à la suite d'une consommation excessive de certains légumes comme les carottes, les courges et l'administration de certains médicaments. Dans ces situations, on parle de </w:t>
      </w:r>
      <w:r w:rsidRPr="00F352A8">
        <w:rPr>
          <w:i/>
          <w:lang w:val="en-US"/>
        </w:rPr>
        <w:t>fausse jaunisse</w:t>
      </w:r>
      <w:r w:rsidRPr="00233A84">
        <w:rPr>
          <w:lang w:val="en-US"/>
        </w:rPr>
        <w:t>.</w:t>
      </w:r>
    </w:p>
    <w:p w14:paraId="59B2011B" w14:textId="77777777" w:rsidR="002B5D92" w:rsidRDefault="005E4505" w:rsidP="00F352A8">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Chez l'adulte normal, le taux de bilirubine sérique varie entre 0,3 et 1,2 mg/dL, et le taux de production systémique de bilirubine est égal aux taux d'absorption hépatique, de conjugaison et d'excrétion biliaire. </w:t>
      </w:r>
      <w:r w:rsidR="00BF543B">
        <w:rPr>
          <w:rFonts w:ascii="Times New Roman" w:hAnsi="Times New Roman" w:cs="Times New Roman"/>
          <w:sz w:val="24"/>
          <w:szCs w:val="24"/>
        </w:rPr>
        <w:t xml:space="preserve">La bilirubine non conjuguée et la bilirubine conjuguée (bilirubine glucuronides) peuvent s'accumuler dans l'organisme. Il existe deux différences physiopathologiques importantes entre les deux formes de bilirubine. </w:t>
      </w:r>
      <w:r w:rsidR="00BF543B" w:rsidRPr="002B5D92">
        <w:rPr>
          <w:rFonts w:ascii="Times New Roman" w:hAnsi="Times New Roman" w:cs="Times New Roman"/>
          <w:i/>
          <w:iCs/>
          <w:sz w:val="24"/>
          <w:szCs w:val="24"/>
        </w:rPr>
        <w:t xml:space="preserve">La bilirubine non conjuguée </w:t>
      </w:r>
      <w:r w:rsidR="00051B5F">
        <w:rPr>
          <w:rFonts w:ascii="Times New Roman" w:hAnsi="Times New Roman" w:cs="Times New Roman"/>
          <w:iCs/>
          <w:sz w:val="24"/>
          <w:szCs w:val="24"/>
        </w:rPr>
        <w:t xml:space="preserve">(bilirubine libre) </w:t>
      </w:r>
      <w:r w:rsidR="00BF543B" w:rsidRPr="002B5D92">
        <w:rPr>
          <w:rFonts w:ascii="Times New Roman" w:hAnsi="Times New Roman" w:cs="Times New Roman"/>
          <w:iCs/>
          <w:sz w:val="24"/>
          <w:szCs w:val="24"/>
        </w:rPr>
        <w:t xml:space="preserve">est pratiquement insoluble dans l'eau à un pH physiologique et existe sous forme de complexes étroits avec </w:t>
      </w:r>
      <w:r w:rsidR="00F352A8">
        <w:rPr>
          <w:rFonts w:ascii="Times New Roman" w:hAnsi="Times New Roman" w:cs="Times New Roman"/>
          <w:iCs/>
          <w:sz w:val="24"/>
          <w:szCs w:val="24"/>
        </w:rPr>
        <w:t>les albumines</w:t>
      </w:r>
      <w:r w:rsidR="00BF543B" w:rsidRPr="002B5D92">
        <w:rPr>
          <w:rFonts w:ascii="Times New Roman" w:hAnsi="Times New Roman" w:cs="Times New Roman"/>
          <w:iCs/>
          <w:sz w:val="24"/>
          <w:szCs w:val="24"/>
        </w:rPr>
        <w:t xml:space="preserve"> sériques</w:t>
      </w:r>
      <w:r w:rsidR="00F352A8">
        <w:rPr>
          <w:rFonts w:ascii="Times New Roman" w:hAnsi="Times New Roman" w:cs="Times New Roman"/>
          <w:iCs/>
          <w:sz w:val="24"/>
          <w:szCs w:val="24"/>
        </w:rPr>
        <w:t>. Elle est très toxique et peut traverser la barrière hémato-encéphalique</w:t>
      </w:r>
      <w:r w:rsidR="00BF543B" w:rsidRPr="002B5D92">
        <w:rPr>
          <w:rFonts w:ascii="Times New Roman" w:hAnsi="Times New Roman" w:cs="Times New Roman"/>
          <w:iCs/>
          <w:sz w:val="24"/>
          <w:szCs w:val="24"/>
        </w:rPr>
        <w:t>. Cette forme ne peut pas être excrétée dans l'urine, même lorsque les taux sanguins sont élevés</w:t>
      </w:r>
      <w:r w:rsidR="00BF543B" w:rsidRPr="002B5D92">
        <w:rPr>
          <w:rFonts w:ascii="Times New Roman" w:hAnsi="Times New Roman" w:cs="Times New Roman"/>
          <w:sz w:val="24"/>
          <w:szCs w:val="24"/>
        </w:rPr>
        <w:t>.</w:t>
      </w:r>
      <w:r w:rsidR="002B5D92">
        <w:rPr>
          <w:rFonts w:ascii="Times New Roman" w:hAnsi="Times New Roman" w:cs="Times New Roman"/>
          <w:sz w:val="24"/>
          <w:szCs w:val="24"/>
        </w:rPr>
        <w:t xml:space="preserve"> </w:t>
      </w:r>
      <w:r w:rsidR="00BF543B">
        <w:rPr>
          <w:rFonts w:ascii="Times New Roman" w:hAnsi="Times New Roman" w:cs="Times New Roman"/>
          <w:sz w:val="24"/>
          <w:szCs w:val="24"/>
        </w:rPr>
        <w:t xml:space="preserve">Normalement, une très petite quantité de bilirubine non conjuguée est présente sous forme d'anion libre d'albumine dans le plasma. Cette fraction de bilirubine non liée peut se diffuser dans les tissus, en particulier dans le cerveau des nourrissons, et provoquer des lésions toxiques. La fraction plasmatique non liée peut augmenter en cas de maladie hémolytique grave ou lorsque des médicaments se liant aux protéines déplacent la bilirubine de l'albumine. Par conséquent, </w:t>
      </w:r>
      <w:r w:rsidR="00BF543B">
        <w:rPr>
          <w:rFonts w:ascii="Times New Roman" w:hAnsi="Times New Roman" w:cs="Times New Roman"/>
          <w:i/>
          <w:iCs/>
          <w:sz w:val="24"/>
          <w:szCs w:val="24"/>
        </w:rPr>
        <w:t xml:space="preserve">la maladie hémolytique du nouveau-né (érythroblastose </w:t>
      </w:r>
      <w:r w:rsidR="00BF543B" w:rsidRPr="00051B5F">
        <w:rPr>
          <w:rFonts w:ascii="Times New Roman" w:hAnsi="Times New Roman" w:cs="Times New Roman"/>
          <w:i/>
          <w:iCs/>
          <w:sz w:val="24"/>
          <w:szCs w:val="24"/>
        </w:rPr>
        <w:t xml:space="preserve">fœtale) </w:t>
      </w:r>
      <w:r w:rsidR="00BF543B" w:rsidRPr="00BF543B">
        <w:rPr>
          <w:rFonts w:ascii="Times New Roman" w:hAnsi="Times New Roman" w:cs="Times New Roman"/>
          <w:iCs/>
          <w:sz w:val="24"/>
          <w:szCs w:val="24"/>
        </w:rPr>
        <w:t xml:space="preserve">peut entraîner une accumulation de bilirubine non conjuguée dans le cerveau, ce qui peut causer </w:t>
      </w:r>
      <w:r w:rsidR="00BF543B">
        <w:rPr>
          <w:rFonts w:ascii="Times New Roman" w:hAnsi="Times New Roman" w:cs="Times New Roman"/>
          <w:iCs/>
          <w:sz w:val="24"/>
          <w:szCs w:val="24"/>
        </w:rPr>
        <w:t>de</w:t>
      </w:r>
      <w:r w:rsidR="00BF543B" w:rsidRPr="00BF543B">
        <w:rPr>
          <w:rFonts w:ascii="Times New Roman" w:hAnsi="Times New Roman" w:cs="Times New Roman"/>
          <w:iCs/>
          <w:sz w:val="24"/>
          <w:szCs w:val="24"/>
        </w:rPr>
        <w:t xml:space="preserve"> graves </w:t>
      </w:r>
      <w:r w:rsidR="00BF543B">
        <w:rPr>
          <w:rFonts w:ascii="Times New Roman" w:hAnsi="Times New Roman" w:cs="Times New Roman"/>
          <w:iCs/>
          <w:sz w:val="24"/>
          <w:szCs w:val="24"/>
        </w:rPr>
        <w:t>lésions</w:t>
      </w:r>
      <w:r w:rsidR="00BF543B" w:rsidRPr="00BF543B">
        <w:rPr>
          <w:rFonts w:ascii="Times New Roman" w:hAnsi="Times New Roman" w:cs="Times New Roman"/>
          <w:iCs/>
          <w:sz w:val="24"/>
          <w:szCs w:val="24"/>
        </w:rPr>
        <w:t xml:space="preserve"> neurologiques</w:t>
      </w:r>
      <w:r w:rsidR="00BF543B">
        <w:rPr>
          <w:rFonts w:ascii="Times New Roman" w:hAnsi="Times New Roman" w:cs="Times New Roman"/>
          <w:iCs/>
          <w:sz w:val="24"/>
          <w:szCs w:val="24"/>
        </w:rPr>
        <w:t xml:space="preserve">, appelées </w:t>
      </w:r>
      <w:r w:rsidR="00BF543B" w:rsidRPr="002B5D92">
        <w:rPr>
          <w:rFonts w:ascii="Times New Roman" w:hAnsi="Times New Roman" w:cs="Times New Roman"/>
          <w:i/>
          <w:iCs/>
          <w:sz w:val="24"/>
          <w:szCs w:val="24"/>
        </w:rPr>
        <w:t>kernictère</w:t>
      </w:r>
      <w:r w:rsidR="00BF543B" w:rsidRPr="002B5D92">
        <w:rPr>
          <w:rFonts w:ascii="Times New Roman" w:hAnsi="Times New Roman" w:cs="Times New Roman"/>
          <w:i/>
          <w:sz w:val="24"/>
          <w:szCs w:val="24"/>
        </w:rPr>
        <w:t>.</w:t>
      </w:r>
      <w:r w:rsidR="00BF543B" w:rsidRPr="00BF543B">
        <w:rPr>
          <w:rFonts w:ascii="Times New Roman" w:hAnsi="Times New Roman" w:cs="Times New Roman"/>
          <w:sz w:val="24"/>
          <w:szCs w:val="24"/>
        </w:rPr>
        <w:t xml:space="preserve"> En revanche, </w:t>
      </w:r>
      <w:r w:rsidR="00BF543B" w:rsidRPr="002B5D92">
        <w:rPr>
          <w:rFonts w:ascii="Times New Roman" w:hAnsi="Times New Roman" w:cs="Times New Roman"/>
          <w:i/>
          <w:iCs/>
          <w:sz w:val="24"/>
          <w:szCs w:val="24"/>
        </w:rPr>
        <w:t xml:space="preserve">la bilirubine conjuguée </w:t>
      </w:r>
      <w:r w:rsidR="00051B5F">
        <w:rPr>
          <w:rFonts w:ascii="Times New Roman" w:hAnsi="Times New Roman" w:cs="Times New Roman"/>
          <w:iCs/>
          <w:sz w:val="24"/>
          <w:szCs w:val="24"/>
        </w:rPr>
        <w:t xml:space="preserve">(bilirubine directe) </w:t>
      </w:r>
      <w:r w:rsidR="00BF543B" w:rsidRPr="00BF543B">
        <w:rPr>
          <w:rFonts w:ascii="Times New Roman" w:hAnsi="Times New Roman" w:cs="Times New Roman"/>
          <w:iCs/>
          <w:sz w:val="24"/>
          <w:szCs w:val="24"/>
        </w:rPr>
        <w:t xml:space="preserve">est soluble dans l'eau, non toxique, </w:t>
      </w:r>
      <w:r w:rsidR="00F608A2">
        <w:rPr>
          <w:rFonts w:ascii="Times New Roman" w:hAnsi="Times New Roman" w:cs="Times New Roman"/>
          <w:iCs/>
          <w:sz w:val="24"/>
          <w:szCs w:val="24"/>
        </w:rPr>
        <w:t xml:space="preserve">ne peut pas traverser la barrière hémato-encéphalique </w:t>
      </w:r>
      <w:r w:rsidR="00BF543B" w:rsidRPr="00BF543B">
        <w:rPr>
          <w:rFonts w:ascii="Times New Roman" w:hAnsi="Times New Roman" w:cs="Times New Roman"/>
          <w:iCs/>
          <w:sz w:val="24"/>
          <w:szCs w:val="24"/>
        </w:rPr>
        <w:t>et n'est que faiblement liée à l'albumine. En raison de sa solubilité et de sa faible association avec l'albumine</w:t>
      </w:r>
      <w:r w:rsidR="00BF543B">
        <w:rPr>
          <w:rFonts w:ascii="Times New Roman" w:hAnsi="Times New Roman" w:cs="Times New Roman"/>
          <w:i/>
          <w:iCs/>
          <w:sz w:val="24"/>
          <w:szCs w:val="24"/>
        </w:rPr>
        <w:t xml:space="preserve">, </w:t>
      </w:r>
      <w:r w:rsidR="00BF543B" w:rsidRPr="002B5D92">
        <w:rPr>
          <w:rFonts w:ascii="Times New Roman" w:hAnsi="Times New Roman" w:cs="Times New Roman"/>
          <w:iCs/>
          <w:sz w:val="24"/>
          <w:szCs w:val="24"/>
        </w:rPr>
        <w:t>l'excès de bilirubine conjuguée dans le plasma peut être excrété dans l'urine</w:t>
      </w:r>
      <w:r w:rsidR="00BF543B" w:rsidRPr="002B5D92">
        <w:rPr>
          <w:rFonts w:ascii="Times New Roman" w:hAnsi="Times New Roman" w:cs="Times New Roman"/>
          <w:sz w:val="24"/>
          <w:szCs w:val="24"/>
        </w:rPr>
        <w:t xml:space="preserve">. En cas </w:t>
      </w:r>
      <w:r w:rsidR="00BF543B">
        <w:rPr>
          <w:rFonts w:ascii="Times New Roman" w:hAnsi="Times New Roman" w:cs="Times New Roman"/>
          <w:sz w:val="24"/>
          <w:szCs w:val="24"/>
        </w:rPr>
        <w:t>d'hyperbilirubinémie</w:t>
      </w:r>
      <w:r w:rsidR="00BF543B" w:rsidRPr="002B5D92">
        <w:rPr>
          <w:rFonts w:ascii="Times New Roman" w:hAnsi="Times New Roman" w:cs="Times New Roman"/>
          <w:sz w:val="24"/>
          <w:szCs w:val="24"/>
        </w:rPr>
        <w:t xml:space="preserve"> conjuguée prolongée</w:t>
      </w:r>
      <w:r w:rsidR="00BF543B">
        <w:rPr>
          <w:rFonts w:ascii="Times New Roman" w:hAnsi="Times New Roman" w:cs="Times New Roman"/>
          <w:sz w:val="24"/>
          <w:szCs w:val="24"/>
        </w:rPr>
        <w:t xml:space="preserve">, une partie du pigment circulant peut se lier de manière covalente à l'albumine ; c'est ce qu'on appelle la </w:t>
      </w:r>
      <w:r w:rsidR="00BF543B" w:rsidRPr="002B5D92">
        <w:rPr>
          <w:rFonts w:ascii="Times New Roman" w:hAnsi="Times New Roman" w:cs="Times New Roman"/>
          <w:iCs/>
          <w:sz w:val="24"/>
          <w:szCs w:val="24"/>
        </w:rPr>
        <w:t xml:space="preserve">fraction </w:t>
      </w:r>
      <w:r w:rsidR="00BF543B" w:rsidRPr="00F608A2">
        <w:rPr>
          <w:rFonts w:ascii="Times New Roman" w:hAnsi="Times New Roman" w:cs="Times New Roman"/>
          <w:i/>
          <w:iCs/>
          <w:sz w:val="24"/>
          <w:szCs w:val="24"/>
        </w:rPr>
        <w:t>delta de la bilirubine</w:t>
      </w:r>
      <w:r w:rsidR="00BF543B" w:rsidRPr="002B5D92">
        <w:rPr>
          <w:rFonts w:ascii="Times New Roman" w:hAnsi="Times New Roman" w:cs="Times New Roman"/>
          <w:sz w:val="24"/>
          <w:szCs w:val="24"/>
        </w:rPr>
        <w:t xml:space="preserve">. </w:t>
      </w:r>
    </w:p>
    <w:p w14:paraId="1CE150A9" w14:textId="77777777" w:rsidR="002B5D92" w:rsidRDefault="002B5D92" w:rsidP="002B5D92">
      <w:pPr>
        <w:autoSpaceDE w:val="0"/>
        <w:autoSpaceDN w:val="0"/>
        <w:adjustRightInd w:val="0"/>
        <w:spacing w:after="0"/>
        <w:ind w:firstLine="720"/>
        <w:jc w:val="both"/>
        <w:rPr>
          <w:rFonts w:ascii="Times New Roman" w:hAnsi="Times New Roman" w:cs="Times New Roman"/>
          <w:sz w:val="24"/>
          <w:szCs w:val="24"/>
        </w:rPr>
      </w:pPr>
      <w:r w:rsidRPr="002B5D92">
        <w:rPr>
          <w:rFonts w:ascii="Times New Roman" w:hAnsi="Times New Roman" w:cs="Times New Roman"/>
          <w:iCs/>
          <w:sz w:val="24"/>
          <w:szCs w:val="24"/>
        </w:rPr>
        <w:t xml:space="preserve">La jaunisse survient lorsque l'équilibre entre la production et la clairance de la bilirubine est perturbé </w:t>
      </w:r>
      <w:r w:rsidRPr="002B5D92">
        <w:rPr>
          <w:rFonts w:ascii="Times New Roman" w:hAnsi="Times New Roman" w:cs="Times New Roman"/>
          <w:sz w:val="24"/>
          <w:szCs w:val="24"/>
        </w:rPr>
        <w:t xml:space="preserve">par un ou plusieurs des mécanismes suivants : </w:t>
      </w:r>
    </w:p>
    <w:p w14:paraId="0AE033CC" w14:textId="77777777" w:rsidR="002B5D92" w:rsidRPr="002B5D9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Cs/>
          <w:sz w:val="24"/>
          <w:szCs w:val="24"/>
        </w:rPr>
        <w:t>production extrahépatique excessive de bilirubine ;</w:t>
      </w:r>
    </w:p>
    <w:p w14:paraId="562FC8C3" w14:textId="77777777" w:rsidR="002B5D92" w:rsidRPr="002B5D9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Cs/>
          <w:sz w:val="24"/>
          <w:szCs w:val="24"/>
        </w:rPr>
        <w:t xml:space="preserve">une absorption réduite par les hépatocytes </w:t>
      </w:r>
      <w:r w:rsidRPr="002B5D92">
        <w:rPr>
          <w:rFonts w:ascii="Times New Roman" w:hAnsi="Times New Roman" w:cs="Times New Roman"/>
          <w:i/>
          <w:iCs/>
          <w:sz w:val="24"/>
          <w:szCs w:val="24"/>
        </w:rPr>
        <w:t xml:space="preserve">; </w:t>
      </w:r>
    </w:p>
    <w:p w14:paraId="0235CEC4" w14:textId="77777777"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
          <w:iCs/>
          <w:sz w:val="24"/>
          <w:szCs w:val="24"/>
        </w:rPr>
        <w:t xml:space="preserve"> </w:t>
      </w:r>
      <w:r w:rsidRPr="00F608A2">
        <w:rPr>
          <w:rFonts w:ascii="Times New Roman" w:hAnsi="Times New Roman" w:cs="Times New Roman"/>
          <w:iCs/>
          <w:sz w:val="24"/>
          <w:szCs w:val="24"/>
        </w:rPr>
        <w:t>altération de la conjugaison ;</w:t>
      </w:r>
    </w:p>
    <w:p w14:paraId="6549D439" w14:textId="77777777"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F608A2">
        <w:rPr>
          <w:rFonts w:ascii="Times New Roman" w:hAnsi="Times New Roman" w:cs="Times New Roman"/>
          <w:iCs/>
          <w:sz w:val="24"/>
          <w:szCs w:val="24"/>
        </w:rPr>
        <w:t xml:space="preserve"> diminution de l'excrétion hépatocellulaire ; </w:t>
      </w:r>
    </w:p>
    <w:p w14:paraId="5C5F7031" w14:textId="77777777"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F608A2">
        <w:rPr>
          <w:rFonts w:ascii="Times New Roman" w:hAnsi="Times New Roman" w:cs="Times New Roman"/>
          <w:iCs/>
          <w:sz w:val="24"/>
          <w:szCs w:val="24"/>
        </w:rPr>
        <w:t xml:space="preserve"> altération du flux biliaire</w:t>
      </w:r>
      <w:r w:rsidRPr="00F608A2">
        <w:rPr>
          <w:rFonts w:ascii="Times New Roman" w:hAnsi="Times New Roman" w:cs="Times New Roman"/>
          <w:sz w:val="24"/>
          <w:szCs w:val="24"/>
        </w:rPr>
        <w:t xml:space="preserve">. </w:t>
      </w:r>
    </w:p>
    <w:p w14:paraId="545FDE58" w14:textId="77777777" w:rsidR="00F608A2" w:rsidRDefault="002B5D92" w:rsidP="00051B5F">
      <w:pPr>
        <w:autoSpaceDE w:val="0"/>
        <w:autoSpaceDN w:val="0"/>
        <w:adjustRightInd w:val="0"/>
        <w:spacing w:after="0"/>
        <w:ind w:firstLine="720"/>
        <w:jc w:val="both"/>
        <w:rPr>
          <w:rFonts w:ascii="Times New Roman" w:hAnsi="Times New Roman" w:cs="Times New Roman"/>
          <w:sz w:val="24"/>
          <w:szCs w:val="24"/>
        </w:rPr>
      </w:pPr>
      <w:r w:rsidRPr="002B5D92">
        <w:rPr>
          <w:rFonts w:ascii="Times New Roman" w:hAnsi="Times New Roman" w:cs="Times New Roman"/>
          <w:sz w:val="24"/>
          <w:szCs w:val="24"/>
        </w:rPr>
        <w:t xml:space="preserve">Les trois premiers mécanismes produisent </w:t>
      </w:r>
      <w:r w:rsidRPr="002B5D92">
        <w:rPr>
          <w:rFonts w:ascii="Times New Roman" w:hAnsi="Times New Roman" w:cs="Times New Roman"/>
          <w:i/>
          <w:sz w:val="24"/>
          <w:szCs w:val="24"/>
        </w:rPr>
        <w:t>une hyperbilirubinémie non conjuguée</w:t>
      </w:r>
      <w:r w:rsidRPr="002B5D92">
        <w:rPr>
          <w:rFonts w:ascii="Times New Roman" w:hAnsi="Times New Roman" w:cs="Times New Roman"/>
          <w:sz w:val="24"/>
          <w:szCs w:val="24"/>
        </w:rPr>
        <w:t xml:space="preserve">, tandis que les deux derniers produisent principalement </w:t>
      </w:r>
      <w:r w:rsidRPr="002B5D92">
        <w:rPr>
          <w:rFonts w:ascii="Times New Roman" w:hAnsi="Times New Roman" w:cs="Times New Roman"/>
          <w:i/>
          <w:sz w:val="24"/>
          <w:szCs w:val="24"/>
        </w:rPr>
        <w:t>une hyperbilirubinémie conjuguée</w:t>
      </w:r>
      <w:r w:rsidRPr="002B5D92">
        <w:rPr>
          <w:rFonts w:ascii="Times New Roman" w:hAnsi="Times New Roman" w:cs="Times New Roman"/>
          <w:sz w:val="24"/>
          <w:szCs w:val="24"/>
        </w:rPr>
        <w:t xml:space="preserve">. Bien que plusieurs mécanismes puissent être à l'œuvre, un seul mécanisme prédomine généralement. Il est donc utile de connaître la forme principale de bilirubine plasmatique pour évaluer </w:t>
      </w:r>
      <w:r w:rsidR="00381DA1">
        <w:rPr>
          <w:rFonts w:ascii="Times New Roman" w:hAnsi="Times New Roman" w:cs="Times New Roman"/>
          <w:sz w:val="24"/>
          <w:szCs w:val="24"/>
        </w:rPr>
        <w:t xml:space="preserve">les mécanismes </w:t>
      </w:r>
      <w:r w:rsidRPr="002B5D92">
        <w:rPr>
          <w:rFonts w:ascii="Times New Roman" w:hAnsi="Times New Roman" w:cs="Times New Roman"/>
          <w:sz w:val="24"/>
          <w:szCs w:val="24"/>
        </w:rPr>
        <w:t xml:space="preserve">possibles </w:t>
      </w:r>
      <w:r w:rsidR="00381DA1">
        <w:rPr>
          <w:rFonts w:ascii="Times New Roman" w:hAnsi="Times New Roman" w:cs="Times New Roman"/>
          <w:sz w:val="24"/>
          <w:szCs w:val="24"/>
        </w:rPr>
        <w:t>de développement.</w:t>
      </w:r>
    </w:p>
    <w:p w14:paraId="7CE1A7F0" w14:textId="77777777" w:rsidR="006A6E25" w:rsidRDefault="006A6E25" w:rsidP="005E17DA">
      <w:pPr>
        <w:autoSpaceDE w:val="0"/>
        <w:autoSpaceDN w:val="0"/>
        <w:adjustRightInd w:val="0"/>
        <w:spacing w:after="0" w:line="240" w:lineRule="auto"/>
        <w:jc w:val="center"/>
        <w:rPr>
          <w:rFonts w:ascii="Times New Roman" w:hAnsi="Times New Roman" w:cs="Times New Roman"/>
          <w:b/>
          <w:bCs/>
          <w:sz w:val="24"/>
          <w:szCs w:val="24"/>
        </w:rPr>
      </w:pPr>
    </w:p>
    <w:p w14:paraId="77F49772" w14:textId="77777777" w:rsidR="00BF543B" w:rsidRDefault="00F608A2" w:rsidP="005E17D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Causes de </w:t>
      </w:r>
      <w:r w:rsidR="00BF543B" w:rsidRPr="005E17DA">
        <w:rPr>
          <w:rFonts w:ascii="Times New Roman" w:hAnsi="Times New Roman" w:cs="Times New Roman"/>
          <w:b/>
          <w:bCs/>
          <w:sz w:val="24"/>
          <w:szCs w:val="24"/>
        </w:rPr>
        <w:t>la jaunisse</w:t>
      </w:r>
    </w:p>
    <w:p w14:paraId="7D62FAF4" w14:textId="77777777" w:rsidR="00F608A2" w:rsidRPr="00F608A2" w:rsidRDefault="00F608A2" w:rsidP="00F608A2">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Robbins-Cotran ; Pathological basis of disease)</w:t>
      </w:r>
    </w:p>
    <w:p w14:paraId="59425D4C" w14:textId="77777777" w:rsidR="00BF543B" w:rsidRDefault="00BF543B" w:rsidP="00BF543B">
      <w:pPr>
        <w:autoSpaceDE w:val="0"/>
        <w:autoSpaceDN w:val="0"/>
        <w:adjustRightInd w:val="0"/>
        <w:spacing w:after="0" w:line="240" w:lineRule="auto"/>
        <w:rPr>
          <w:rFonts w:ascii="Arial" w:hAnsi="Arial" w:cs="Arial"/>
          <w:b/>
          <w:bCs/>
          <w:sz w:val="20"/>
          <w:szCs w:val="20"/>
        </w:rPr>
      </w:pPr>
    </w:p>
    <w:tbl>
      <w:tblPr>
        <w:tblStyle w:val="Tabelgril"/>
        <w:tblW w:w="0" w:type="auto"/>
        <w:tblLook w:val="04A0" w:firstRow="1" w:lastRow="0" w:firstColumn="1" w:lastColumn="0" w:noHBand="0" w:noVBand="1"/>
      </w:tblPr>
      <w:tblGrid>
        <w:gridCol w:w="4788"/>
        <w:gridCol w:w="4788"/>
      </w:tblGrid>
      <w:tr w:rsidR="00BF543B" w:rsidRPr="00397B2E" w14:paraId="03F124B5" w14:textId="77777777" w:rsidTr="0067084F">
        <w:tc>
          <w:tcPr>
            <w:tcW w:w="9576" w:type="dxa"/>
            <w:gridSpan w:val="2"/>
          </w:tcPr>
          <w:p w14:paraId="620213C9" w14:textId="77777777" w:rsidR="00051B5F" w:rsidRDefault="00051B5F" w:rsidP="0067084F">
            <w:pPr>
              <w:autoSpaceDE w:val="0"/>
              <w:autoSpaceDN w:val="0"/>
              <w:adjustRightInd w:val="0"/>
              <w:jc w:val="center"/>
              <w:rPr>
                <w:rFonts w:ascii="Times New Roman" w:hAnsi="Times New Roman" w:cs="Times New Roman"/>
                <w:b/>
                <w:bCs/>
                <w:sz w:val="16"/>
                <w:szCs w:val="16"/>
              </w:rPr>
            </w:pPr>
          </w:p>
          <w:p w14:paraId="04BDE46F" w14:textId="77777777" w:rsidR="00051B5F" w:rsidRPr="00397B2E" w:rsidRDefault="00BF543B" w:rsidP="00C46DE9">
            <w:pPr>
              <w:autoSpaceDE w:val="0"/>
              <w:autoSpaceDN w:val="0"/>
              <w:adjustRightInd w:val="0"/>
              <w:jc w:val="center"/>
              <w:rPr>
                <w:rFonts w:ascii="Times New Roman" w:hAnsi="Times New Roman" w:cs="Times New Roman"/>
                <w:b/>
                <w:bCs/>
                <w:sz w:val="16"/>
                <w:szCs w:val="16"/>
              </w:rPr>
            </w:pPr>
            <w:r w:rsidRPr="00C46DE9">
              <w:rPr>
                <w:rFonts w:ascii="Times New Roman" w:hAnsi="Times New Roman" w:cs="Times New Roman"/>
                <w:b/>
                <w:bCs/>
                <w:sz w:val="16"/>
                <w:szCs w:val="16"/>
              </w:rPr>
              <w:t>HYPERBILIRUBINÉMIE PRÉDOMINANTEMENT NON CONJUGUÉE</w:t>
            </w:r>
          </w:p>
        </w:tc>
      </w:tr>
      <w:tr w:rsidR="00BF543B" w:rsidRPr="00397B2E" w14:paraId="6254B9D7" w14:textId="77777777" w:rsidTr="0067084F">
        <w:tc>
          <w:tcPr>
            <w:tcW w:w="9576" w:type="dxa"/>
            <w:gridSpan w:val="2"/>
          </w:tcPr>
          <w:p w14:paraId="5519F7F0" w14:textId="77777777" w:rsidR="00BF543B" w:rsidRPr="00397B2E" w:rsidRDefault="00BF543B" w:rsidP="0067084F">
            <w:pPr>
              <w:autoSpaceDE w:val="0"/>
              <w:autoSpaceDN w:val="0"/>
              <w:adjustRightInd w:val="0"/>
              <w:jc w:val="center"/>
              <w:rPr>
                <w:rFonts w:ascii="Times New Roman" w:hAnsi="Times New Roman" w:cs="Times New Roman"/>
                <w:b/>
                <w:sz w:val="20"/>
                <w:szCs w:val="20"/>
              </w:rPr>
            </w:pPr>
            <w:r w:rsidRPr="00397B2E">
              <w:rPr>
                <w:rFonts w:ascii="Times New Roman" w:hAnsi="Times New Roman" w:cs="Times New Roman"/>
                <w:b/>
                <w:sz w:val="20"/>
                <w:szCs w:val="20"/>
              </w:rPr>
              <w:t>Production excessive de bilirubine</w:t>
            </w:r>
          </w:p>
          <w:p w14:paraId="60499744" w14:textId="77777777"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Anémies hémolytiques</w:t>
            </w:r>
          </w:p>
          <w:p w14:paraId="023CE6D2" w14:textId="77777777"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Résorption du sang provenant d'une hémorragie interne (par exemple, saignement du tube digestif, hématomes)</w:t>
            </w:r>
          </w:p>
          <w:p w14:paraId="756FB4F7" w14:textId="77777777"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Érythropoïèse inefficace (par exemple, anémie pernicieuse, thalassémie)</w:t>
            </w:r>
          </w:p>
          <w:p w14:paraId="597E6E27" w14:textId="77777777" w:rsidR="00BF543B" w:rsidRPr="00397B2E" w:rsidRDefault="00BF543B" w:rsidP="0067084F">
            <w:pPr>
              <w:autoSpaceDE w:val="0"/>
              <w:autoSpaceDN w:val="0"/>
              <w:adjustRightInd w:val="0"/>
              <w:jc w:val="center"/>
              <w:rPr>
                <w:rFonts w:ascii="Times New Roman" w:hAnsi="Times New Roman" w:cs="Times New Roman"/>
                <w:b/>
                <w:bCs/>
                <w:sz w:val="20"/>
                <w:szCs w:val="20"/>
              </w:rPr>
            </w:pPr>
          </w:p>
        </w:tc>
      </w:tr>
      <w:tr w:rsidR="00BF543B" w:rsidRPr="00397B2E" w14:paraId="1390EA55" w14:textId="77777777" w:rsidTr="0067084F">
        <w:tc>
          <w:tcPr>
            <w:tcW w:w="9576" w:type="dxa"/>
            <w:gridSpan w:val="2"/>
          </w:tcPr>
          <w:p w14:paraId="676A479E" w14:textId="77777777" w:rsidR="00BF543B" w:rsidRPr="00397B2E" w:rsidRDefault="00BF543B" w:rsidP="0067084F">
            <w:pPr>
              <w:autoSpaceDE w:val="0"/>
              <w:autoSpaceDN w:val="0"/>
              <w:adjustRightInd w:val="0"/>
              <w:jc w:val="center"/>
              <w:rPr>
                <w:rFonts w:ascii="Times New Roman" w:hAnsi="Times New Roman" w:cs="Times New Roman"/>
                <w:b/>
                <w:sz w:val="20"/>
                <w:szCs w:val="20"/>
              </w:rPr>
            </w:pPr>
            <w:r w:rsidRPr="00397B2E">
              <w:rPr>
                <w:rFonts w:ascii="Times New Roman" w:hAnsi="Times New Roman" w:cs="Times New Roman"/>
                <w:b/>
                <w:sz w:val="20"/>
                <w:szCs w:val="20"/>
              </w:rPr>
              <w:t>Réduction de l'absorption hépatique</w:t>
            </w:r>
          </w:p>
          <w:p w14:paraId="734A626B" w14:textId="77777777" w:rsidR="00BF543B" w:rsidRPr="00397B2E" w:rsidRDefault="00BF543B" w:rsidP="00051B5F">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Interférence médicamenteuse avec les systèmes de transport membranaires</w:t>
            </w:r>
          </w:p>
          <w:p w14:paraId="07AEA3E7" w14:textId="77777777" w:rsidR="00BF543B" w:rsidRPr="00397B2E" w:rsidRDefault="00BF543B" w:rsidP="00051B5F">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Certains cas de syndrome de Gilbert</w:t>
            </w:r>
          </w:p>
          <w:p w14:paraId="51D2804D" w14:textId="77777777" w:rsidR="00BF543B" w:rsidRPr="00397B2E" w:rsidRDefault="00BF543B" w:rsidP="0067084F">
            <w:pPr>
              <w:autoSpaceDE w:val="0"/>
              <w:autoSpaceDN w:val="0"/>
              <w:adjustRightInd w:val="0"/>
              <w:rPr>
                <w:rFonts w:ascii="Times New Roman" w:hAnsi="Times New Roman" w:cs="Times New Roman"/>
                <w:b/>
                <w:bCs/>
                <w:sz w:val="20"/>
                <w:szCs w:val="20"/>
              </w:rPr>
            </w:pPr>
          </w:p>
        </w:tc>
      </w:tr>
      <w:tr w:rsidR="00BF543B" w:rsidRPr="00397B2E" w14:paraId="6573D1C7" w14:textId="77777777" w:rsidTr="0067084F">
        <w:tc>
          <w:tcPr>
            <w:tcW w:w="9576" w:type="dxa"/>
            <w:gridSpan w:val="2"/>
          </w:tcPr>
          <w:p w14:paraId="397A88FC" w14:textId="77777777" w:rsidR="00BF543B" w:rsidRPr="00397B2E" w:rsidRDefault="00BF543B" w:rsidP="0067084F">
            <w:pPr>
              <w:autoSpaceDE w:val="0"/>
              <w:autoSpaceDN w:val="0"/>
              <w:adjustRightInd w:val="0"/>
              <w:jc w:val="center"/>
              <w:rPr>
                <w:rFonts w:ascii="Times New Roman" w:hAnsi="Times New Roman" w:cs="Times New Roman"/>
                <w:b/>
                <w:bCs/>
                <w:sz w:val="20"/>
                <w:szCs w:val="20"/>
              </w:rPr>
            </w:pPr>
            <w:r w:rsidRPr="00397B2E">
              <w:rPr>
                <w:rFonts w:ascii="Times New Roman" w:hAnsi="Times New Roman" w:cs="Times New Roman"/>
                <w:b/>
                <w:bCs/>
                <w:sz w:val="20"/>
                <w:szCs w:val="20"/>
              </w:rPr>
              <w:t>Altération de la conjugaison de la bilirubine</w:t>
            </w:r>
          </w:p>
          <w:p w14:paraId="2CE5F7AD" w14:textId="77777777"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Ictère physiologique du nouveau-né (diminution de l'activité de l'UGT1A1, diminution de l'excrétion)</w:t>
            </w:r>
          </w:p>
          <w:p w14:paraId="0D5B704F" w14:textId="77777777"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Ictère du lait maternel (β-glucuronidases dans le lait)</w:t>
            </w:r>
          </w:p>
          <w:p w14:paraId="07F02C9E" w14:textId="77777777"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Déficit génétique de l'activité de l'UGT1A1 (syndrome de Crigler-Najjar de types I et II)</w:t>
            </w:r>
          </w:p>
          <w:p w14:paraId="23EC596E" w14:textId="77777777"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Syndrome de Gilbert</w:t>
            </w:r>
          </w:p>
          <w:p w14:paraId="3D2F94FF" w14:textId="77777777" w:rsidR="00BF543B" w:rsidRPr="00397B2E" w:rsidRDefault="00BF543B" w:rsidP="0067084F">
            <w:pPr>
              <w:autoSpaceDE w:val="0"/>
              <w:autoSpaceDN w:val="0"/>
              <w:adjustRightInd w:val="0"/>
              <w:rPr>
                <w:rFonts w:ascii="Times New Roman" w:hAnsi="Times New Roman" w:cs="Times New Roman"/>
                <w:b/>
                <w:bCs/>
                <w:sz w:val="20"/>
                <w:szCs w:val="20"/>
              </w:rPr>
            </w:pPr>
            <w:r w:rsidRPr="00397B2E">
              <w:rPr>
                <w:rFonts w:ascii="Times New Roman" w:hAnsi="Times New Roman" w:cs="Times New Roman"/>
                <w:bCs/>
                <w:sz w:val="20"/>
                <w:szCs w:val="20"/>
              </w:rPr>
              <w:t>Maladie hépatocellulaire diffuse (par exemple, hépatite virale ou médicamenteuse, cirrhose</w:t>
            </w:r>
            <w:r w:rsidRPr="00397B2E">
              <w:rPr>
                <w:rFonts w:ascii="Times New Roman" w:hAnsi="Times New Roman" w:cs="Times New Roman"/>
                <w:b/>
                <w:bCs/>
                <w:sz w:val="20"/>
                <w:szCs w:val="20"/>
              </w:rPr>
              <w:t>)</w:t>
            </w:r>
          </w:p>
        </w:tc>
      </w:tr>
      <w:tr w:rsidR="00BF543B" w:rsidRPr="00397B2E" w14:paraId="31426AAF" w14:textId="77777777" w:rsidTr="0067084F">
        <w:tc>
          <w:tcPr>
            <w:tcW w:w="4788" w:type="dxa"/>
          </w:tcPr>
          <w:p w14:paraId="2743A2A6" w14:textId="77777777" w:rsidR="00BF543B" w:rsidRPr="00397B2E" w:rsidRDefault="00BF543B" w:rsidP="0067084F">
            <w:pPr>
              <w:autoSpaceDE w:val="0"/>
              <w:autoSpaceDN w:val="0"/>
              <w:adjustRightInd w:val="0"/>
              <w:rPr>
                <w:rFonts w:ascii="Times New Roman" w:hAnsi="Times New Roman" w:cs="Times New Roman"/>
                <w:b/>
                <w:bCs/>
                <w:sz w:val="20"/>
                <w:szCs w:val="20"/>
              </w:rPr>
            </w:pPr>
          </w:p>
        </w:tc>
        <w:tc>
          <w:tcPr>
            <w:tcW w:w="4788" w:type="dxa"/>
          </w:tcPr>
          <w:p w14:paraId="68C38E99" w14:textId="77777777" w:rsidR="00BF543B" w:rsidRPr="00397B2E" w:rsidRDefault="00BF543B" w:rsidP="0067084F">
            <w:pPr>
              <w:autoSpaceDE w:val="0"/>
              <w:autoSpaceDN w:val="0"/>
              <w:adjustRightInd w:val="0"/>
              <w:rPr>
                <w:rFonts w:ascii="Times New Roman" w:hAnsi="Times New Roman" w:cs="Times New Roman"/>
                <w:b/>
                <w:bCs/>
                <w:sz w:val="20"/>
                <w:szCs w:val="20"/>
              </w:rPr>
            </w:pPr>
          </w:p>
        </w:tc>
      </w:tr>
      <w:tr w:rsidR="00BF543B" w:rsidRPr="00397B2E" w14:paraId="7D3CE299" w14:textId="77777777" w:rsidTr="0067084F">
        <w:tc>
          <w:tcPr>
            <w:tcW w:w="9576" w:type="dxa"/>
            <w:gridSpan w:val="2"/>
          </w:tcPr>
          <w:p w14:paraId="5C039304" w14:textId="77777777" w:rsidR="00051B5F" w:rsidRDefault="00051B5F" w:rsidP="0067084F">
            <w:pPr>
              <w:autoSpaceDE w:val="0"/>
              <w:autoSpaceDN w:val="0"/>
              <w:adjustRightInd w:val="0"/>
              <w:jc w:val="center"/>
              <w:rPr>
                <w:rFonts w:ascii="Times New Roman" w:hAnsi="Times New Roman" w:cs="Times New Roman"/>
                <w:b/>
                <w:bCs/>
                <w:sz w:val="18"/>
                <w:szCs w:val="18"/>
              </w:rPr>
            </w:pPr>
          </w:p>
          <w:p w14:paraId="102BD952" w14:textId="77777777" w:rsidR="00BF543B" w:rsidRPr="00C46DE9" w:rsidRDefault="00BF543B" w:rsidP="00C46DE9">
            <w:pPr>
              <w:autoSpaceDE w:val="0"/>
              <w:autoSpaceDN w:val="0"/>
              <w:adjustRightInd w:val="0"/>
              <w:jc w:val="center"/>
              <w:rPr>
                <w:rFonts w:ascii="Times New Roman" w:hAnsi="Times New Roman" w:cs="Times New Roman"/>
                <w:b/>
                <w:bCs/>
                <w:sz w:val="18"/>
                <w:szCs w:val="18"/>
              </w:rPr>
            </w:pPr>
            <w:r w:rsidRPr="00397B2E">
              <w:rPr>
                <w:rFonts w:ascii="Times New Roman" w:hAnsi="Times New Roman" w:cs="Times New Roman"/>
                <w:b/>
                <w:bCs/>
                <w:sz w:val="18"/>
                <w:szCs w:val="18"/>
              </w:rPr>
              <w:t>HYPERBILIRUBINÉMIE PRÉDOMINANTEMENT CONJUGUÉE</w:t>
            </w:r>
          </w:p>
        </w:tc>
      </w:tr>
      <w:tr w:rsidR="00BF543B" w:rsidRPr="00397B2E" w14:paraId="19AAC322" w14:textId="77777777" w:rsidTr="0067084F">
        <w:tc>
          <w:tcPr>
            <w:tcW w:w="9576" w:type="dxa"/>
            <w:gridSpan w:val="2"/>
          </w:tcPr>
          <w:p w14:paraId="23CDF02F" w14:textId="77777777" w:rsidR="00BF543B" w:rsidRPr="00397B2E" w:rsidRDefault="00BF543B" w:rsidP="0067084F">
            <w:pPr>
              <w:autoSpaceDE w:val="0"/>
              <w:autoSpaceDN w:val="0"/>
              <w:adjustRightInd w:val="0"/>
              <w:rPr>
                <w:rFonts w:ascii="Times New Roman" w:hAnsi="Times New Roman" w:cs="Times New Roman"/>
                <w:sz w:val="20"/>
                <w:szCs w:val="20"/>
              </w:rPr>
            </w:pPr>
            <w:r w:rsidRPr="00397B2E">
              <w:rPr>
                <w:rFonts w:ascii="Times New Roman" w:hAnsi="Times New Roman" w:cs="Times New Roman"/>
                <w:sz w:val="20"/>
                <w:szCs w:val="20"/>
              </w:rPr>
              <w:t>Déficit en transporteurs membranaires canaliculaires (syndrome de Dubin-Johnson, syndrome de Rotor)</w:t>
            </w:r>
          </w:p>
          <w:p w14:paraId="2E84046E" w14:textId="77777777" w:rsidR="00BF543B" w:rsidRPr="00397B2E" w:rsidRDefault="00BF543B" w:rsidP="0067084F">
            <w:pPr>
              <w:autoSpaceDE w:val="0"/>
              <w:autoSpaceDN w:val="0"/>
              <w:adjustRightInd w:val="0"/>
              <w:jc w:val="center"/>
              <w:rPr>
                <w:rFonts w:ascii="Times New Roman" w:hAnsi="Times New Roman" w:cs="Times New Roman"/>
                <w:b/>
                <w:bCs/>
                <w:sz w:val="20"/>
                <w:szCs w:val="20"/>
              </w:rPr>
            </w:pPr>
            <w:r w:rsidRPr="00397B2E">
              <w:rPr>
                <w:rFonts w:ascii="Times New Roman" w:hAnsi="Times New Roman" w:cs="Times New Roman"/>
                <w:sz w:val="20"/>
                <w:szCs w:val="20"/>
              </w:rPr>
              <w:t>Altération du flux biliaire</w:t>
            </w:r>
          </w:p>
        </w:tc>
      </w:tr>
    </w:tbl>
    <w:p w14:paraId="470CBAA8" w14:textId="77777777" w:rsidR="005D364D" w:rsidRPr="00397B2E" w:rsidRDefault="005E4505" w:rsidP="009640C5">
      <w:pPr>
        <w:autoSpaceDE w:val="0"/>
        <w:autoSpaceDN w:val="0"/>
        <w:adjustRightInd w:val="0"/>
        <w:spacing w:after="0" w:line="240" w:lineRule="auto"/>
        <w:jc w:val="both"/>
        <w:rPr>
          <w:rFonts w:ascii="Times New Roman" w:hAnsi="Times New Roman" w:cs="Times New Roman"/>
          <w:color w:val="C00000"/>
          <w:sz w:val="24"/>
          <w:szCs w:val="24"/>
        </w:rPr>
      </w:pPr>
      <w:r w:rsidRPr="00397B2E">
        <w:rPr>
          <w:rFonts w:ascii="Times New Roman" w:hAnsi="Times New Roman" w:cs="Times New Roman"/>
          <w:sz w:val="24"/>
          <w:szCs w:val="24"/>
        </w:rPr>
        <w:t>UGT, uridine diphosphate-glucuronyltransférase</w:t>
      </w:r>
    </w:p>
    <w:p w14:paraId="4E618790" w14:textId="77777777" w:rsidR="005D364D" w:rsidRPr="00397B2E"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14:paraId="0E9A7290" w14:textId="77777777" w:rsidR="005D364D" w:rsidRPr="00397B2E" w:rsidRDefault="00554AFA" w:rsidP="005D364D">
      <w:pPr>
        <w:autoSpaceDE w:val="0"/>
        <w:autoSpaceDN w:val="0"/>
        <w:adjustRightInd w:val="0"/>
        <w:spacing w:after="0" w:line="240" w:lineRule="auto"/>
        <w:ind w:firstLine="720"/>
        <w:rPr>
          <w:rFonts w:ascii="Times New Roman" w:hAnsi="Times New Roman" w:cs="Times New Roman"/>
          <w:b/>
          <w:color w:val="000000"/>
          <w:sz w:val="24"/>
          <w:szCs w:val="24"/>
        </w:rPr>
      </w:pPr>
      <w:r>
        <w:rPr>
          <w:rFonts w:ascii="Times New Roman" w:hAnsi="Times New Roman" w:cs="Times New Roman"/>
          <w:b/>
          <w:color w:val="000000"/>
          <w:sz w:val="24"/>
          <w:szCs w:val="24"/>
        </w:rPr>
        <w:t>Ictère néonatal</w:t>
      </w:r>
    </w:p>
    <w:p w14:paraId="5629AA38" w14:textId="77777777" w:rsidR="005D364D" w:rsidRDefault="00554AFA" w:rsidP="00554AFA">
      <w:pPr>
        <w:ind w:firstLine="720"/>
        <w:jc w:val="both"/>
        <w:rPr>
          <w:rFonts w:ascii="Times New Roman" w:hAnsi="Times New Roman" w:cs="Times New Roman"/>
          <w:sz w:val="24"/>
          <w:szCs w:val="24"/>
        </w:rPr>
      </w:pPr>
      <w:r w:rsidRPr="00554AFA">
        <w:rPr>
          <w:rFonts w:ascii="Times New Roman" w:hAnsi="Times New Roman" w:cs="Times New Roman"/>
          <w:sz w:val="24"/>
          <w:szCs w:val="24"/>
        </w:rPr>
        <w:t xml:space="preserve">La bilirubine produite par le fœtus est éliminée par le placenta et par le foie maternel. Immédiatement après la naissance, le foie néonatal doit assumer la responsabilité de l'élimination et de l'excrétion de la bilirubine. Cependant, de nombreux processus physiologiques hépatiques ne sont pas complètement développés à la naissance. Les taux d'UGT1A1 sont faibles et d'autres voies d'excrétion permettent le passage de la bilirubine non conjuguée dans l'intestin. Comme la flore intestinale qui transforme la bilirubine en urobilinogène est également sous-développée, il en résulte une circulation entéro-hépatique de la bilirubine non conjuguée. En conséquence, la plupart des nouveau-nés développent une hyperbilirubinémie légère non conjuguée entre le deuxième et le cinquième jour après la naissance. Les taux maximaux sont généralement inférieurs à 85-170 mol/L (5-10 mg/dL) et reviennent à des concentrations normales chez l'adulte en l'espace de deux semaines, à mesure que les mécanismes nécessaires à l'élimination de la bilirubine arrivent à maturité. La prématurité, souvent associée à une immaturité plus profonde de la fonction hépatique et à une hémolyse, peut entraîner des taux plus élevés d'hyperbilirubinémie non conjuguée. Une augmentation rapide de la concentration de bilirubine non conjuguée, ou des taux absolus &gt; 340 mol/L (20 mg/dL), expose le nourrisson à un risque d'encéphalopathie bilirubinique, ou </w:t>
      </w:r>
      <w:r w:rsidRPr="00554AFA">
        <w:rPr>
          <w:rFonts w:ascii="Times New Roman" w:hAnsi="Times New Roman" w:cs="Times New Roman"/>
          <w:i/>
          <w:sz w:val="24"/>
          <w:szCs w:val="24"/>
        </w:rPr>
        <w:t>kernictère</w:t>
      </w:r>
      <w:r w:rsidRPr="00554AFA">
        <w:rPr>
          <w:rFonts w:ascii="Times New Roman" w:hAnsi="Times New Roman" w:cs="Times New Roman"/>
          <w:sz w:val="24"/>
          <w:szCs w:val="24"/>
        </w:rPr>
        <w:t>. Dans ces circonstances, la bilirubine traverse une barrière hémato-encéphalique immature et se précipite dans les ganglions de la base et d'autres zones du cerveau. Les conséquences vont de déficits neurologiques appréciables à la mort. Les options thérapeutiques comprennent la photothérapie, qui convertit la bilirubine en photoisomères hydrosolubles qui sont excrétés directement dans la bile, et l'exsanguino-transfusion. Les mécanismes canaliculaires responsables de l'excrétion de la bilirubine sont également immatures à la naissance, et leur maturation peut être retardée par rapport à celle de l'UGT1A1, ce qui peut entraîner une hyperbilirubinémie néonatale conjuguée transitoire, en particulier chez les nourrissons présentant une hémolyse.</w:t>
      </w:r>
    </w:p>
    <w:p w14:paraId="1774111F" w14:textId="77777777" w:rsidR="00472161" w:rsidRDefault="00472161" w:rsidP="00554AFA">
      <w:pPr>
        <w:ind w:firstLine="720"/>
        <w:jc w:val="both"/>
        <w:rPr>
          <w:rFonts w:ascii="Times New Roman" w:hAnsi="Times New Roman" w:cs="Times New Roman"/>
          <w:sz w:val="24"/>
          <w:szCs w:val="24"/>
        </w:rPr>
      </w:pPr>
    </w:p>
    <w:p w14:paraId="5AC17F84" w14:textId="77777777" w:rsidR="00472161" w:rsidRPr="00554AFA" w:rsidRDefault="00472161" w:rsidP="00554AFA">
      <w:pPr>
        <w:ind w:firstLine="720"/>
        <w:jc w:val="both"/>
        <w:rPr>
          <w:rFonts w:ascii="Times New Roman" w:hAnsi="Times New Roman" w:cs="Times New Roman"/>
          <w:sz w:val="24"/>
          <w:szCs w:val="24"/>
        </w:rPr>
      </w:pPr>
    </w:p>
    <w:p w14:paraId="4C45E011" w14:textId="77777777" w:rsidR="00051B5F" w:rsidRPr="00C46DE9" w:rsidRDefault="005D364D" w:rsidP="00C46DE9">
      <w:pPr>
        <w:autoSpaceDE w:val="0"/>
        <w:autoSpaceDN w:val="0"/>
        <w:adjustRightInd w:val="0"/>
        <w:spacing w:after="0" w:line="240" w:lineRule="auto"/>
        <w:ind w:firstLine="720"/>
        <w:rPr>
          <w:rFonts w:ascii="Times New Roman" w:hAnsi="Times New Roman" w:cs="Times New Roman"/>
          <w:b/>
          <w:color w:val="000000"/>
          <w:sz w:val="24"/>
          <w:szCs w:val="24"/>
        </w:rPr>
      </w:pPr>
      <w:r w:rsidRPr="00455308">
        <w:rPr>
          <w:rFonts w:ascii="Times New Roman" w:hAnsi="Times New Roman" w:cs="Times New Roman"/>
          <w:b/>
          <w:color w:val="000000"/>
          <w:sz w:val="24"/>
          <w:szCs w:val="24"/>
        </w:rPr>
        <w:t>Hyperbilirubinémies</w:t>
      </w:r>
      <w:r>
        <w:rPr>
          <w:rFonts w:ascii="Times New Roman" w:hAnsi="Times New Roman" w:cs="Times New Roman"/>
          <w:b/>
          <w:color w:val="000000"/>
          <w:sz w:val="24"/>
          <w:szCs w:val="24"/>
        </w:rPr>
        <w:t xml:space="preserve"> héréditaires</w:t>
      </w:r>
    </w:p>
    <w:p w14:paraId="2FB1C258" w14:textId="77777777" w:rsidR="005D364D" w:rsidRDefault="005D364D" w:rsidP="005D364D">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De multiples mutations génétiques peuvent provoquer une hyperbilirubinémie héréditaire.</w:t>
      </w:r>
    </w:p>
    <w:p w14:paraId="51797F76" w14:textId="77777777" w:rsidR="00472161" w:rsidRDefault="00472161" w:rsidP="005D364D">
      <w:pPr>
        <w:autoSpaceDE w:val="0"/>
        <w:autoSpaceDN w:val="0"/>
        <w:adjustRightInd w:val="0"/>
        <w:spacing w:after="0" w:line="240" w:lineRule="auto"/>
        <w:ind w:firstLine="720"/>
        <w:jc w:val="both"/>
        <w:rPr>
          <w:rFonts w:ascii="Times New Roman" w:hAnsi="Times New Roman" w:cs="Times New Roman"/>
          <w:color w:val="000000"/>
          <w:sz w:val="24"/>
          <w:szCs w:val="24"/>
        </w:rPr>
      </w:pPr>
    </w:p>
    <w:p w14:paraId="3D1BB55F" w14:textId="77777777" w:rsidR="005D364D" w:rsidRDefault="005D364D" w:rsidP="005D364D">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Dans </w:t>
      </w:r>
      <w:r>
        <w:rPr>
          <w:rFonts w:ascii="Times New Roman" w:hAnsi="Times New Roman" w:cs="Times New Roman"/>
          <w:i/>
          <w:iCs/>
          <w:color w:val="000000"/>
          <w:sz w:val="24"/>
          <w:szCs w:val="24"/>
        </w:rPr>
        <w:t>le syndrome de Crigler-Najjar de type I</w:t>
      </w:r>
      <w:r>
        <w:rPr>
          <w:rFonts w:ascii="Times New Roman" w:hAnsi="Times New Roman" w:cs="Times New Roman"/>
          <w:color w:val="000000"/>
          <w:sz w:val="24"/>
          <w:szCs w:val="24"/>
        </w:rPr>
        <w:t xml:space="preserve">, </w:t>
      </w:r>
      <w:r w:rsidR="00397B2E">
        <w:rPr>
          <w:rFonts w:ascii="Times New Roman" w:hAnsi="Times New Roman" w:cs="Times New Roman"/>
          <w:color w:val="000000"/>
          <w:sz w:val="24"/>
          <w:szCs w:val="24"/>
        </w:rPr>
        <w:t xml:space="preserve">l'UGT1A1 hépatique </w:t>
      </w:r>
      <w:r>
        <w:rPr>
          <w:rFonts w:ascii="Times New Roman" w:hAnsi="Times New Roman" w:cs="Times New Roman"/>
          <w:color w:val="000000"/>
          <w:sz w:val="24"/>
          <w:szCs w:val="24"/>
        </w:rPr>
        <w:t xml:space="preserve">est complètement absent et la bile incolore ne contient que des traces de bilirubine non conjuguée. </w:t>
      </w:r>
      <w:r w:rsidRPr="00397B2E">
        <w:rPr>
          <w:rFonts w:ascii="Times New Roman" w:hAnsi="Times New Roman" w:cs="Times New Roman"/>
          <w:iCs/>
          <w:color w:val="000000"/>
          <w:sz w:val="24"/>
          <w:szCs w:val="24"/>
        </w:rPr>
        <w:t>Le foie est morphologiquement normal à la microscopie optique et électronique</w:t>
      </w:r>
      <w:r w:rsidRPr="00397B2E">
        <w:rPr>
          <w:rFonts w:ascii="Times New Roman" w:hAnsi="Times New Roman" w:cs="Times New Roman"/>
          <w:color w:val="000000"/>
          <w:sz w:val="24"/>
          <w:szCs w:val="24"/>
        </w:rPr>
        <w:t xml:space="preserve">. Cependant, la bilirubine sérique non conjuguée atteint des niveaux très élevés, provoquant une jaunisse sévère et un ictère. Sans transplantation hépatique, cette affection est invariablement mortelle, entraînant le décès par kernictère dans les 18 mois suivant la naissance. </w:t>
      </w:r>
      <w:r w:rsidRPr="00C46DE9">
        <w:rPr>
          <w:rFonts w:ascii="Times New Roman" w:hAnsi="Times New Roman" w:cs="Times New Roman"/>
          <w:i/>
          <w:iCs/>
          <w:color w:val="000000"/>
          <w:sz w:val="24"/>
          <w:szCs w:val="24"/>
        </w:rPr>
        <w:t xml:space="preserve">Le syndrome de Crigler-Najjar de type II </w:t>
      </w:r>
      <w:r w:rsidRPr="00397B2E">
        <w:rPr>
          <w:rFonts w:ascii="Times New Roman" w:hAnsi="Times New Roman" w:cs="Times New Roman"/>
          <w:color w:val="000000"/>
          <w:sz w:val="24"/>
          <w:szCs w:val="24"/>
        </w:rPr>
        <w:t xml:space="preserve">est une affection moins grave et non mortelle dans laquelle l'activité de l'enzyme UGT1A1 est fortement réduite et où l'enzyme n'est capable de former que de la bilirubine monoglucuronidée. Contrairement au syndrome de Crigler-Najjar de type I, la seule conséquence majeure est </w:t>
      </w:r>
      <w:r>
        <w:rPr>
          <w:rFonts w:ascii="Times New Roman" w:hAnsi="Times New Roman" w:cs="Times New Roman"/>
          <w:color w:val="000000"/>
          <w:sz w:val="24"/>
          <w:szCs w:val="24"/>
        </w:rPr>
        <w:t xml:space="preserve">une peau </w:t>
      </w:r>
      <w:r w:rsidRPr="00397B2E">
        <w:rPr>
          <w:rFonts w:ascii="Times New Roman" w:hAnsi="Times New Roman" w:cs="Times New Roman"/>
          <w:color w:val="000000"/>
          <w:sz w:val="24"/>
          <w:szCs w:val="24"/>
        </w:rPr>
        <w:t xml:space="preserve">extrêmement </w:t>
      </w:r>
      <w:r>
        <w:rPr>
          <w:rFonts w:ascii="Times New Roman" w:hAnsi="Times New Roman" w:cs="Times New Roman"/>
          <w:color w:val="000000"/>
          <w:sz w:val="24"/>
          <w:szCs w:val="24"/>
        </w:rPr>
        <w:t>jaune. Le traitement au phénobarbital peut améliorer la glucuronidation de la bilirubine en induisant une hypertrophie du réticulum endoplasmique hépatocellulaire.</w:t>
      </w:r>
    </w:p>
    <w:p w14:paraId="6B09DFBE" w14:textId="77777777" w:rsidR="00472161" w:rsidRPr="005D364D" w:rsidRDefault="00472161" w:rsidP="005D364D">
      <w:pPr>
        <w:autoSpaceDE w:val="0"/>
        <w:autoSpaceDN w:val="0"/>
        <w:adjustRightInd w:val="0"/>
        <w:spacing w:after="0"/>
        <w:ind w:firstLine="720"/>
        <w:jc w:val="both"/>
        <w:rPr>
          <w:rFonts w:ascii="Times New Roman" w:hAnsi="Times New Roman" w:cs="Times New Roman"/>
          <w:color w:val="000000"/>
          <w:sz w:val="24"/>
          <w:szCs w:val="24"/>
        </w:rPr>
      </w:pPr>
    </w:p>
    <w:p w14:paraId="74D95AE1" w14:textId="77777777" w:rsidR="005D364D" w:rsidRDefault="005D364D" w:rsidP="005D364D">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Le syndrome de Gilbert </w:t>
      </w:r>
      <w:r>
        <w:rPr>
          <w:rFonts w:ascii="Times New Roman" w:hAnsi="Times New Roman" w:cs="Times New Roman"/>
          <w:color w:val="000000"/>
          <w:sz w:val="24"/>
          <w:szCs w:val="24"/>
        </w:rPr>
        <w:t>est une affection héréditaire relativement courante et bénigne qui se manifeste par une hyperbilirubinémie légère et fluctuante, en l'absence d'hémolyse ou de maladie hépatique. Dans le syndrome de Gilbert, l'activité de glucuronidation de la bilirubine hépatique est d'environ 30 % de la normale, une réduction moins grave que dans les syndromes de Crigler-Najjar. Elle est causée chez la plupart des patients par l'insertion homozygote de deux bases supplémentaires dans la région promotrice 5′ du gène</w:t>
      </w:r>
      <w:r>
        <w:rPr>
          <w:rFonts w:ascii="Times New Roman" w:hAnsi="Times New Roman" w:cs="Times New Roman"/>
          <w:i/>
          <w:iCs/>
          <w:color w:val="000000"/>
          <w:sz w:val="24"/>
          <w:szCs w:val="24"/>
        </w:rPr>
        <w:t xml:space="preserve"> UGT1</w:t>
      </w:r>
      <w:r>
        <w:rPr>
          <w:rFonts w:ascii="Times New Roman" w:hAnsi="Times New Roman" w:cs="Times New Roman"/>
          <w:color w:val="000000"/>
          <w:sz w:val="24"/>
          <w:szCs w:val="24"/>
        </w:rPr>
        <w:t>, ce qui entraîne une réduction de la transcription. L'hyperbilirubinémie légère peut passer inaperçue pendant des années et n'est pas associée à des troubles fonctionnels. Lorsqu'elle est détectée à l'adolescence ou à l'âge adulte, elle est généralement associée à un stress, tel qu'une maladie intercurrente, un exercice physique intense ou un jeûne. Le syndrome de Gilbert en lui-même n'a aucune conséquence clinique, à l'exception de l'anxiété que peut ressentir à juste titre une personne atteinte de jaunisse face à cette affection par ailleurs bénigne. Cependant, les personnes atteintes du syndrome de Gilbert peuvent être plus sensibles aux effets indésirables des médicaments métabolisés par l'UGT1A1.</w:t>
      </w:r>
    </w:p>
    <w:p w14:paraId="51806871" w14:textId="77777777" w:rsidR="00472161" w:rsidRDefault="00472161" w:rsidP="005D364D">
      <w:pPr>
        <w:autoSpaceDE w:val="0"/>
        <w:autoSpaceDN w:val="0"/>
        <w:adjustRightInd w:val="0"/>
        <w:spacing w:after="0"/>
        <w:ind w:firstLine="720"/>
        <w:jc w:val="both"/>
        <w:rPr>
          <w:rFonts w:ascii="Times New Roman" w:hAnsi="Times New Roman" w:cs="Times New Roman"/>
          <w:color w:val="000000"/>
          <w:sz w:val="24"/>
          <w:szCs w:val="24"/>
        </w:rPr>
      </w:pPr>
    </w:p>
    <w:p w14:paraId="463396E2" w14:textId="77777777" w:rsidR="005D364D" w:rsidRDefault="005D364D" w:rsidP="005D364D">
      <w:pPr>
        <w:autoSpaceDE w:val="0"/>
        <w:autoSpaceDN w:val="0"/>
        <w:adjustRightInd w:val="0"/>
        <w:spacing w:after="0"/>
        <w:ind w:firstLine="720"/>
        <w:jc w:val="both"/>
        <w:rPr>
          <w:rFonts w:ascii="Times New Roman" w:hAnsi="Times New Roman" w:cs="Times New Roman"/>
          <w:sz w:val="24"/>
          <w:szCs w:val="24"/>
        </w:rPr>
      </w:pPr>
      <w:r w:rsidRPr="00E56E2F">
        <w:rPr>
          <w:rFonts w:ascii="Times New Roman" w:hAnsi="Times New Roman" w:cs="Times New Roman"/>
          <w:i/>
          <w:iCs/>
          <w:color w:val="000000"/>
          <w:sz w:val="24"/>
          <w:szCs w:val="24"/>
        </w:rPr>
        <w:t xml:space="preserve">Le syndrome de Dubin-Johnson </w:t>
      </w:r>
      <w:r w:rsidRPr="00882D0B">
        <w:rPr>
          <w:rFonts w:ascii="Times New Roman" w:hAnsi="Times New Roman" w:cs="Times New Roman"/>
          <w:iCs/>
          <w:color w:val="000000"/>
          <w:sz w:val="24"/>
          <w:szCs w:val="24"/>
        </w:rPr>
        <w:t xml:space="preserve">est une maladie autosomique récessive caractérisée par une hyperbilirubinémie conjuguée chronique. Il est causé par un défaut d'excrétion hépatocellulaire des glucuronides de bilirubine à travers </w:t>
      </w:r>
      <w:r w:rsidRPr="00397B2E">
        <w:rPr>
          <w:rFonts w:ascii="Times New Roman" w:hAnsi="Times New Roman" w:cs="Times New Roman"/>
          <w:iCs/>
          <w:color w:val="000000"/>
          <w:sz w:val="24"/>
          <w:szCs w:val="24"/>
        </w:rPr>
        <w:t>la membrane canaliculaire</w:t>
      </w:r>
      <w:r w:rsidRPr="00397B2E">
        <w:rPr>
          <w:rFonts w:ascii="Times New Roman" w:hAnsi="Times New Roman" w:cs="Times New Roman"/>
          <w:color w:val="000000"/>
          <w:sz w:val="24"/>
          <w:szCs w:val="24"/>
        </w:rPr>
        <w:t xml:space="preserve">. La base moléculaire de ce syndrome est l'absence de la protéine canaliculaire, </w:t>
      </w:r>
      <w:r w:rsidRPr="00472161">
        <w:rPr>
          <w:rFonts w:ascii="Times New Roman" w:hAnsi="Times New Roman" w:cs="Times New Roman"/>
          <w:i/>
          <w:iCs/>
          <w:color w:val="000000"/>
          <w:sz w:val="24"/>
          <w:szCs w:val="24"/>
        </w:rPr>
        <w:t>la protéine de résistance multidrogues 2</w:t>
      </w:r>
      <w:r w:rsidRPr="00397B2E">
        <w:rPr>
          <w:rFonts w:ascii="Times New Roman" w:hAnsi="Times New Roman" w:cs="Times New Roman"/>
          <w:color w:val="000000"/>
          <w:sz w:val="24"/>
          <w:szCs w:val="24"/>
        </w:rPr>
        <w:t xml:space="preserve">, qui est responsable du transport des glucuronides de bilirubine et des anions organiques apparentés dans la bile. Le foie est fortement pigmenté en raison de la présence de gros granules pigmentés dans </w:t>
      </w:r>
      <w:r w:rsidRPr="00397B2E">
        <w:rPr>
          <w:rFonts w:ascii="Times New Roman" w:hAnsi="Times New Roman" w:cs="Times New Roman"/>
          <w:sz w:val="24"/>
          <w:szCs w:val="24"/>
        </w:rPr>
        <w:t xml:space="preserve">le cytoplasme des hépatocytes. La microscopie électronique révèle que le pigment est situé dans les lysosomes : il semble être composé de polymères de métabolites de l'épinéphrine. Le foie est par ailleurs normal. Hormis une jaunisse chronique ou récurrente d'intensité variable, la plupart des patients sont asymptomatiques et ont une </w:t>
      </w:r>
      <w:r>
        <w:rPr>
          <w:rFonts w:ascii="Times New Roman" w:hAnsi="Times New Roman" w:cs="Times New Roman"/>
          <w:sz w:val="24"/>
          <w:szCs w:val="24"/>
        </w:rPr>
        <w:t>espérance de vie normale.</w:t>
      </w:r>
    </w:p>
    <w:p w14:paraId="44304227" w14:textId="77777777" w:rsidR="00472161" w:rsidRPr="00E56E2F" w:rsidRDefault="00472161" w:rsidP="005D364D">
      <w:pPr>
        <w:autoSpaceDE w:val="0"/>
        <w:autoSpaceDN w:val="0"/>
        <w:adjustRightInd w:val="0"/>
        <w:spacing w:after="0"/>
        <w:ind w:firstLine="720"/>
        <w:jc w:val="both"/>
        <w:rPr>
          <w:rFonts w:ascii="Times New Roman" w:hAnsi="Times New Roman" w:cs="Times New Roman"/>
          <w:iCs/>
          <w:color w:val="000000"/>
          <w:sz w:val="24"/>
          <w:szCs w:val="24"/>
        </w:rPr>
      </w:pPr>
    </w:p>
    <w:p w14:paraId="0A66BB25" w14:textId="77777777" w:rsidR="005D364D" w:rsidRDefault="005D364D" w:rsidP="005D364D">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i/>
          <w:iCs/>
          <w:sz w:val="24"/>
          <w:szCs w:val="24"/>
        </w:rPr>
        <w:t xml:space="preserve">Le syndrome de Rotor </w:t>
      </w:r>
      <w:r>
        <w:rPr>
          <w:rFonts w:ascii="Times New Roman" w:hAnsi="Times New Roman" w:cs="Times New Roman"/>
          <w:sz w:val="24"/>
          <w:szCs w:val="24"/>
        </w:rPr>
        <w:t>est une forme rare d'hyperbilirubinémie conjuguée asymptomatique associée à de multiples anomalies de l'absorption hépatocellulaire et de l'excrétion des pigments biliaires. La base moléculaire précise de ce syndrome est inconnue. Le foie est morphologiquement normal. Comme dans le syndrome de Dubin-Johnson, les patients atteints du syndrome de Rotor présentent une jaunisse, mais mènent par ailleurs une vie normale.</w:t>
      </w:r>
    </w:p>
    <w:p w14:paraId="22264047" w14:textId="77777777" w:rsidR="00554AFA" w:rsidRDefault="00554AFA" w:rsidP="00051B5F">
      <w:pPr>
        <w:autoSpaceDE w:val="0"/>
        <w:autoSpaceDN w:val="0"/>
        <w:adjustRightInd w:val="0"/>
        <w:spacing w:after="0"/>
        <w:jc w:val="both"/>
        <w:rPr>
          <w:rFonts w:ascii="Times New Roman" w:hAnsi="Times New Roman" w:cs="Times New Roman"/>
          <w:sz w:val="24"/>
          <w:szCs w:val="24"/>
        </w:rPr>
      </w:pPr>
    </w:p>
    <w:p w14:paraId="307CA25C" w14:textId="77777777" w:rsidR="00472161" w:rsidRDefault="00472161" w:rsidP="00051B5F">
      <w:pPr>
        <w:autoSpaceDE w:val="0"/>
        <w:autoSpaceDN w:val="0"/>
        <w:adjustRightInd w:val="0"/>
        <w:spacing w:after="0"/>
        <w:jc w:val="both"/>
        <w:rPr>
          <w:rFonts w:ascii="Times New Roman" w:hAnsi="Times New Roman" w:cs="Times New Roman"/>
          <w:sz w:val="24"/>
          <w:szCs w:val="24"/>
        </w:rPr>
      </w:pPr>
    </w:p>
    <w:p w14:paraId="386D7099" w14:textId="77777777" w:rsidR="00472161" w:rsidRDefault="00472161" w:rsidP="00051B5F">
      <w:pPr>
        <w:autoSpaceDE w:val="0"/>
        <w:autoSpaceDN w:val="0"/>
        <w:adjustRightInd w:val="0"/>
        <w:spacing w:after="0"/>
        <w:jc w:val="both"/>
        <w:rPr>
          <w:rFonts w:ascii="Times New Roman" w:hAnsi="Times New Roman" w:cs="Times New Roman"/>
          <w:sz w:val="24"/>
          <w:szCs w:val="24"/>
        </w:rPr>
      </w:pPr>
    </w:p>
    <w:p w14:paraId="59857ADE" w14:textId="77777777" w:rsidR="00472161" w:rsidRDefault="00472161" w:rsidP="00051B5F">
      <w:pPr>
        <w:autoSpaceDE w:val="0"/>
        <w:autoSpaceDN w:val="0"/>
        <w:adjustRightInd w:val="0"/>
        <w:spacing w:after="0"/>
        <w:jc w:val="both"/>
        <w:rPr>
          <w:rFonts w:ascii="Times New Roman" w:hAnsi="Times New Roman" w:cs="Times New Roman"/>
          <w:sz w:val="24"/>
          <w:szCs w:val="24"/>
        </w:rPr>
      </w:pPr>
    </w:p>
    <w:p w14:paraId="70C775F4" w14:textId="77777777" w:rsidR="005D364D" w:rsidRDefault="00397B2E" w:rsidP="00397B2E">
      <w:pPr>
        <w:autoSpaceDE w:val="0"/>
        <w:autoSpaceDN w:val="0"/>
        <w:adjustRightInd w:val="0"/>
        <w:spacing w:after="0" w:line="240" w:lineRule="auto"/>
        <w:jc w:val="center"/>
        <w:rPr>
          <w:rFonts w:ascii="Times New Roman" w:hAnsi="Times New Roman" w:cs="Times New Roman"/>
          <w:b/>
          <w:color w:val="000000"/>
          <w:sz w:val="24"/>
          <w:szCs w:val="24"/>
        </w:rPr>
      </w:pPr>
      <w:r w:rsidRPr="00455308">
        <w:rPr>
          <w:rFonts w:ascii="Times New Roman" w:hAnsi="Times New Roman" w:cs="Times New Roman"/>
          <w:b/>
          <w:color w:val="000000"/>
          <w:sz w:val="24"/>
          <w:szCs w:val="24"/>
        </w:rPr>
        <w:t>Hyperbilirubinémies</w:t>
      </w:r>
      <w:r>
        <w:rPr>
          <w:rFonts w:ascii="Times New Roman" w:hAnsi="Times New Roman" w:cs="Times New Roman"/>
          <w:b/>
          <w:color w:val="000000"/>
          <w:sz w:val="24"/>
          <w:szCs w:val="24"/>
        </w:rPr>
        <w:t xml:space="preserve"> héréditaires</w:t>
      </w:r>
    </w:p>
    <w:p w14:paraId="2F0513A4" w14:textId="77777777" w:rsidR="00397B2E" w:rsidRPr="00397B2E" w:rsidRDefault="00397B2E" w:rsidP="00397B2E">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(D'après Robbins-Cotran ; Pathological basis of disease)</w:t>
      </w:r>
    </w:p>
    <w:p w14:paraId="70CF5A1C" w14:textId="77777777" w:rsidR="00397B2E" w:rsidRDefault="00397B2E" w:rsidP="00397B2E">
      <w:pPr>
        <w:autoSpaceDE w:val="0"/>
        <w:autoSpaceDN w:val="0"/>
        <w:adjustRightInd w:val="0"/>
        <w:spacing w:after="0" w:line="240" w:lineRule="auto"/>
        <w:jc w:val="center"/>
        <w:rPr>
          <w:rFonts w:ascii="Times New Roman" w:hAnsi="Times New Roman" w:cs="Times New Roman"/>
          <w:sz w:val="24"/>
          <w:szCs w:val="24"/>
        </w:rPr>
      </w:pPr>
    </w:p>
    <w:tbl>
      <w:tblPr>
        <w:tblStyle w:val="Tabelgril"/>
        <w:tblW w:w="10098" w:type="dxa"/>
        <w:tblLayout w:type="fixed"/>
        <w:tblLook w:val="04A0" w:firstRow="1" w:lastRow="0" w:firstColumn="1" w:lastColumn="0" w:noHBand="0" w:noVBand="1"/>
      </w:tblPr>
      <w:tblGrid>
        <w:gridCol w:w="1915"/>
        <w:gridCol w:w="1915"/>
        <w:gridCol w:w="2848"/>
        <w:gridCol w:w="1915"/>
        <w:gridCol w:w="1505"/>
      </w:tblGrid>
      <w:tr w:rsidR="005D364D" w:rsidRPr="00397B2E" w14:paraId="5BAAF12C" w14:textId="77777777" w:rsidTr="00554AFA">
        <w:tc>
          <w:tcPr>
            <w:tcW w:w="1915" w:type="dxa"/>
          </w:tcPr>
          <w:p w14:paraId="5DC0D4B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Trouble</w:t>
            </w:r>
          </w:p>
        </w:tc>
        <w:tc>
          <w:tcPr>
            <w:tcW w:w="1915" w:type="dxa"/>
          </w:tcPr>
          <w:p w14:paraId="49AD43BA"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Hérédité</w:t>
            </w:r>
          </w:p>
        </w:tc>
        <w:tc>
          <w:tcPr>
            <w:tcW w:w="2848" w:type="dxa"/>
          </w:tcPr>
          <w:p w14:paraId="170C08D8"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Anomalies du métabolisme de la bilirubine</w:t>
            </w:r>
          </w:p>
        </w:tc>
        <w:tc>
          <w:tcPr>
            <w:tcW w:w="1915" w:type="dxa"/>
          </w:tcPr>
          <w:p w14:paraId="43BC0AE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Pathologie hépatique</w:t>
            </w:r>
          </w:p>
        </w:tc>
        <w:tc>
          <w:tcPr>
            <w:tcW w:w="1505" w:type="dxa"/>
          </w:tcPr>
          <w:p w14:paraId="1FFA2D5C" w14:textId="77777777" w:rsidR="005D364D" w:rsidRPr="00554AFA" w:rsidRDefault="005D364D" w:rsidP="0067084F">
            <w:pPr>
              <w:autoSpaceDE w:val="0"/>
              <w:autoSpaceDN w:val="0"/>
              <w:adjustRightInd w:val="0"/>
              <w:jc w:val="both"/>
              <w:rPr>
                <w:rFonts w:ascii="Times New Roman" w:hAnsi="Times New Roman" w:cs="Times New Roman"/>
                <w:sz w:val="20"/>
                <w:szCs w:val="20"/>
              </w:rPr>
            </w:pPr>
            <w:r w:rsidRPr="00554AFA">
              <w:rPr>
                <w:rFonts w:ascii="Times New Roman" w:hAnsi="Times New Roman" w:cs="Times New Roman"/>
                <w:b/>
                <w:bCs/>
                <w:sz w:val="20"/>
                <w:szCs w:val="20"/>
              </w:rPr>
              <w:t>Évolution clinique</w:t>
            </w:r>
          </w:p>
        </w:tc>
      </w:tr>
      <w:tr w:rsidR="005D364D" w:rsidRPr="00397B2E" w14:paraId="4F99DCA9" w14:textId="77777777" w:rsidTr="00554AFA">
        <w:tc>
          <w:tcPr>
            <w:tcW w:w="10098" w:type="dxa"/>
            <w:gridSpan w:val="5"/>
          </w:tcPr>
          <w:p w14:paraId="47F2FB27" w14:textId="77777777" w:rsidR="005D364D" w:rsidRPr="00915CAA" w:rsidRDefault="005D364D" w:rsidP="0067084F">
            <w:pPr>
              <w:autoSpaceDE w:val="0"/>
              <w:autoSpaceDN w:val="0"/>
              <w:adjustRightInd w:val="0"/>
              <w:jc w:val="center"/>
              <w:rPr>
                <w:rFonts w:ascii="Times New Roman" w:hAnsi="Times New Roman" w:cs="Times New Roman"/>
                <w:sz w:val="16"/>
                <w:szCs w:val="16"/>
              </w:rPr>
            </w:pPr>
            <w:r w:rsidRPr="00915CAA">
              <w:rPr>
                <w:rFonts w:ascii="Times New Roman" w:hAnsi="Times New Roman" w:cs="Times New Roman"/>
                <w:b/>
                <w:bCs/>
                <w:sz w:val="16"/>
                <w:szCs w:val="16"/>
              </w:rPr>
              <w:t>HYPERBILIRUBINÉMIE NON CONJUGUÉE</w:t>
            </w:r>
          </w:p>
        </w:tc>
      </w:tr>
      <w:tr w:rsidR="005D364D" w:rsidRPr="00397B2E" w14:paraId="3E0766F3" w14:textId="77777777" w:rsidTr="00554AFA">
        <w:tc>
          <w:tcPr>
            <w:tcW w:w="1915" w:type="dxa"/>
          </w:tcPr>
          <w:p w14:paraId="5CB322E6"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 de Crigler-Najjar</w:t>
            </w:r>
          </w:p>
          <w:p w14:paraId="5F4EB3C9"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14:paraId="695404E0"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type I</w:t>
            </w:r>
          </w:p>
          <w:p w14:paraId="574C03EE"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1A3F9349"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Autosomique</w:t>
            </w:r>
          </w:p>
          <w:p w14:paraId="1402187C"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récessif</w:t>
            </w:r>
          </w:p>
          <w:p w14:paraId="2F721308"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14:paraId="4650E668"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Absence d'activité de l'UGT1A1</w:t>
            </w:r>
          </w:p>
        </w:tc>
        <w:tc>
          <w:tcPr>
            <w:tcW w:w="1915" w:type="dxa"/>
          </w:tcPr>
          <w:p w14:paraId="28A40F15"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Aucun</w:t>
            </w:r>
          </w:p>
        </w:tc>
        <w:tc>
          <w:tcPr>
            <w:tcW w:w="1505" w:type="dxa"/>
          </w:tcPr>
          <w:p w14:paraId="38E3504D"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Mortel pendant la</w:t>
            </w:r>
          </w:p>
          <w:p w14:paraId="038C723E"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période néonatale</w:t>
            </w:r>
          </w:p>
        </w:tc>
      </w:tr>
      <w:tr w:rsidR="005D364D" w:rsidRPr="00397B2E" w14:paraId="6ECACF2C" w14:textId="77777777" w:rsidTr="00554AFA">
        <w:tc>
          <w:tcPr>
            <w:tcW w:w="1915" w:type="dxa"/>
          </w:tcPr>
          <w:p w14:paraId="3D055B7C"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 de Crigler-Najjar</w:t>
            </w:r>
          </w:p>
          <w:p w14:paraId="11936A68"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type II</w:t>
            </w:r>
          </w:p>
          <w:p w14:paraId="5F65E0C3"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type II</w:t>
            </w:r>
          </w:p>
          <w:p w14:paraId="626C6F88"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74FF9450"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Autosomique</w:t>
            </w:r>
          </w:p>
          <w:p w14:paraId="0BE9AE1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dominant avec</w:t>
            </w:r>
          </w:p>
          <w:p w14:paraId="1EC8408F"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pénétrance</w:t>
            </w:r>
          </w:p>
          <w:p w14:paraId="03617B2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pénétrance</w:t>
            </w:r>
          </w:p>
          <w:p w14:paraId="4DBD57E9"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14:paraId="73E264F3"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Diminution de l'activité de l'UGT1A1</w:t>
            </w:r>
          </w:p>
        </w:tc>
        <w:tc>
          <w:tcPr>
            <w:tcW w:w="1915" w:type="dxa"/>
          </w:tcPr>
          <w:p w14:paraId="4F47C047"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Aucun</w:t>
            </w:r>
          </w:p>
        </w:tc>
        <w:tc>
          <w:tcPr>
            <w:tcW w:w="1505" w:type="dxa"/>
          </w:tcPr>
          <w:p w14:paraId="0EA84354"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Généralement légère,</w:t>
            </w:r>
          </w:p>
          <w:p w14:paraId="682BB7B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occasionnelle</w:t>
            </w:r>
          </w:p>
          <w:p w14:paraId="7032FAC2"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Noyau jauni</w:t>
            </w:r>
          </w:p>
        </w:tc>
      </w:tr>
      <w:tr w:rsidR="005D364D" w:rsidRPr="00397B2E" w14:paraId="133D2120" w14:textId="77777777" w:rsidTr="00554AFA">
        <w:tc>
          <w:tcPr>
            <w:tcW w:w="1915" w:type="dxa"/>
          </w:tcPr>
          <w:p w14:paraId="757ABDFF"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 de Gilbert</w:t>
            </w:r>
          </w:p>
          <w:p w14:paraId="00D7D8F3"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14:paraId="73AA98BF"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p>
        </w:tc>
        <w:tc>
          <w:tcPr>
            <w:tcW w:w="1915" w:type="dxa"/>
          </w:tcPr>
          <w:p w14:paraId="72B2D99C"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Autosomique</w:t>
            </w:r>
          </w:p>
          <w:p w14:paraId="52533593"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récessif</w:t>
            </w:r>
          </w:p>
          <w:p w14:paraId="5D3B24A3"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14:paraId="40F9720F"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Diminution de l'activité de l'UGT1A1</w:t>
            </w:r>
          </w:p>
        </w:tc>
        <w:tc>
          <w:tcPr>
            <w:tcW w:w="1915" w:type="dxa"/>
          </w:tcPr>
          <w:p w14:paraId="3C99720E"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Aucune</w:t>
            </w:r>
          </w:p>
        </w:tc>
        <w:tc>
          <w:tcPr>
            <w:tcW w:w="1505" w:type="dxa"/>
          </w:tcPr>
          <w:p w14:paraId="65B95D4C"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Inoffensif</w:t>
            </w:r>
          </w:p>
        </w:tc>
      </w:tr>
      <w:tr w:rsidR="005D364D" w:rsidRPr="00397B2E" w14:paraId="6739C53E" w14:textId="77777777" w:rsidTr="00554AFA">
        <w:tc>
          <w:tcPr>
            <w:tcW w:w="10098" w:type="dxa"/>
            <w:gridSpan w:val="5"/>
          </w:tcPr>
          <w:p w14:paraId="2B2C8D69" w14:textId="77777777" w:rsidR="005D364D" w:rsidRPr="00915CAA" w:rsidRDefault="005D364D" w:rsidP="0067084F">
            <w:pPr>
              <w:autoSpaceDE w:val="0"/>
              <w:autoSpaceDN w:val="0"/>
              <w:adjustRightInd w:val="0"/>
              <w:jc w:val="center"/>
              <w:rPr>
                <w:rFonts w:ascii="Times New Roman" w:hAnsi="Times New Roman" w:cs="Times New Roman"/>
                <w:sz w:val="16"/>
                <w:szCs w:val="16"/>
              </w:rPr>
            </w:pPr>
            <w:r w:rsidRPr="00915CAA">
              <w:rPr>
                <w:rFonts w:ascii="Times New Roman" w:hAnsi="Times New Roman" w:cs="Times New Roman"/>
                <w:b/>
                <w:bCs/>
                <w:sz w:val="16"/>
                <w:szCs w:val="16"/>
              </w:rPr>
              <w:t>HYPERBILIRUBINÉMIE CONJUGUÉE</w:t>
            </w:r>
          </w:p>
        </w:tc>
      </w:tr>
      <w:tr w:rsidR="005D364D" w:rsidRPr="00397B2E" w14:paraId="3E682D9E" w14:textId="77777777" w:rsidTr="00554AFA">
        <w:tc>
          <w:tcPr>
            <w:tcW w:w="1915" w:type="dxa"/>
          </w:tcPr>
          <w:p w14:paraId="2E50BC08"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Dubin-</w:t>
            </w:r>
          </w:p>
          <w:p w14:paraId="6A4A56F2"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Johnson</w:t>
            </w:r>
          </w:p>
          <w:p w14:paraId="40F66C2A"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14:paraId="48A0507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493BAA77"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Autosomique</w:t>
            </w:r>
          </w:p>
          <w:p w14:paraId="11076AC7"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récessif</w:t>
            </w:r>
          </w:p>
          <w:p w14:paraId="64981C13"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14:paraId="3A79DF3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Altération de l'excrétion biliaire des</w:t>
            </w:r>
          </w:p>
          <w:p w14:paraId="70742FEB"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glucuronides de bilirubine due à une</w:t>
            </w:r>
          </w:p>
          <w:p w14:paraId="345F316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mutation de la protéine de résistance multidrogé</w:t>
            </w:r>
          </w:p>
          <w:p w14:paraId="42F6E69A"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(MRP2)</w:t>
            </w:r>
          </w:p>
          <w:p w14:paraId="14F985E7"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4392AE3C"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Globules cytoplasmiques pigmentés</w:t>
            </w:r>
          </w:p>
          <w:p w14:paraId="6D32F9ED"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globules ; ?épinéphrine</w:t>
            </w:r>
          </w:p>
          <w:p w14:paraId="57AAF9E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w:t>
            </w:r>
          </w:p>
          <w:p w14:paraId="5541CFAF"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505" w:type="dxa"/>
          </w:tcPr>
          <w:p w14:paraId="58C95253"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Innocuité</w:t>
            </w:r>
          </w:p>
        </w:tc>
      </w:tr>
      <w:tr w:rsidR="005D364D" w:rsidRPr="00397B2E" w14:paraId="158A4542" w14:textId="77777777" w:rsidTr="00554AFA">
        <w:tc>
          <w:tcPr>
            <w:tcW w:w="1915" w:type="dxa"/>
          </w:tcPr>
          <w:p w14:paraId="3DAADCB7"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 de Rotor</w:t>
            </w:r>
          </w:p>
          <w:p w14:paraId="5EE23BE9" w14:textId="77777777"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14:paraId="282134E9"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1CF78B44"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Autosomique</w:t>
            </w:r>
          </w:p>
          <w:p w14:paraId="5FA66127"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Récessif</w:t>
            </w:r>
          </w:p>
        </w:tc>
        <w:tc>
          <w:tcPr>
            <w:tcW w:w="2848" w:type="dxa"/>
          </w:tcPr>
          <w:p w14:paraId="0CEA10E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Diminution de l'absorption hépatique</w:t>
            </w:r>
          </w:p>
          <w:p w14:paraId="0A9636F2"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et du stockage ?</w:t>
            </w:r>
          </w:p>
          <w:p w14:paraId="3FC6A606"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Diminution de l'excrétion biliaire ?</w:t>
            </w:r>
          </w:p>
          <w:p w14:paraId="42DC124A" w14:textId="77777777"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14:paraId="0FB6801F"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Aucune</w:t>
            </w:r>
          </w:p>
        </w:tc>
        <w:tc>
          <w:tcPr>
            <w:tcW w:w="1505" w:type="dxa"/>
          </w:tcPr>
          <w:p w14:paraId="675DD391" w14:textId="77777777"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Inoffensif</w:t>
            </w:r>
          </w:p>
        </w:tc>
      </w:tr>
    </w:tbl>
    <w:p w14:paraId="748FB7CF" w14:textId="77777777" w:rsidR="005D364D" w:rsidRPr="00397B2E"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14:paraId="488B814D" w14:textId="77777777" w:rsidR="00A23B27" w:rsidRPr="00397B2E" w:rsidRDefault="00A23B27" w:rsidP="009640C5">
      <w:pPr>
        <w:autoSpaceDE w:val="0"/>
        <w:autoSpaceDN w:val="0"/>
        <w:adjustRightInd w:val="0"/>
        <w:spacing w:after="0" w:line="240" w:lineRule="auto"/>
        <w:jc w:val="both"/>
        <w:rPr>
          <w:rFonts w:ascii="Times New Roman" w:hAnsi="Times New Roman" w:cs="Times New Roman"/>
          <w:color w:val="C00000"/>
          <w:sz w:val="24"/>
          <w:szCs w:val="24"/>
        </w:rPr>
      </w:pPr>
    </w:p>
    <w:p w14:paraId="2AEC3F9D" w14:textId="77777777" w:rsidR="009640C5" w:rsidRDefault="009640C5" w:rsidP="00554AFA">
      <w:pPr>
        <w:autoSpaceDE w:val="0"/>
        <w:autoSpaceDN w:val="0"/>
        <w:adjustRightInd w:val="0"/>
        <w:spacing w:after="0"/>
        <w:ind w:firstLine="720"/>
        <w:jc w:val="both"/>
        <w:rPr>
          <w:rFonts w:ascii="Times New Roman" w:hAnsi="Times New Roman" w:cs="Times New Roman"/>
          <w:sz w:val="24"/>
          <w:szCs w:val="24"/>
        </w:rPr>
      </w:pPr>
      <w:r w:rsidRPr="00397B2E">
        <w:rPr>
          <w:rFonts w:ascii="Times New Roman" w:hAnsi="Times New Roman" w:cs="Times New Roman"/>
          <w:sz w:val="24"/>
          <w:szCs w:val="24"/>
        </w:rPr>
        <w:t>Les quatre causes principales de l'ictère</w:t>
      </w:r>
      <w:r w:rsidR="00397B2E">
        <w:rPr>
          <w:rFonts w:ascii="Times New Roman" w:hAnsi="Times New Roman" w:cs="Times New Roman"/>
          <w:sz w:val="24"/>
          <w:szCs w:val="24"/>
        </w:rPr>
        <w:t xml:space="preserve"> acquis </w:t>
      </w:r>
      <w:r w:rsidRPr="00397B2E">
        <w:rPr>
          <w:rFonts w:ascii="Times New Roman" w:hAnsi="Times New Roman" w:cs="Times New Roman"/>
          <w:sz w:val="24"/>
          <w:szCs w:val="24"/>
        </w:rPr>
        <w:t xml:space="preserve">sont la destruction excessive des globules rouges </w:t>
      </w:r>
      <w:r w:rsidR="00397B2E">
        <w:rPr>
          <w:rFonts w:ascii="Times New Roman" w:hAnsi="Times New Roman" w:cs="Times New Roman"/>
          <w:sz w:val="24"/>
          <w:szCs w:val="24"/>
        </w:rPr>
        <w:t>(</w:t>
      </w:r>
      <w:r w:rsidR="00397B2E" w:rsidRPr="00554AFA">
        <w:rPr>
          <w:rFonts w:ascii="Times New Roman" w:hAnsi="Times New Roman" w:cs="Times New Roman"/>
          <w:i/>
          <w:sz w:val="24"/>
          <w:szCs w:val="24"/>
        </w:rPr>
        <w:t>ictère hémolytique</w:t>
      </w:r>
      <w:r w:rsidR="00397B2E">
        <w:rPr>
          <w:rFonts w:ascii="Times New Roman" w:hAnsi="Times New Roman" w:cs="Times New Roman"/>
          <w:sz w:val="24"/>
          <w:szCs w:val="24"/>
        </w:rPr>
        <w:t>)</w:t>
      </w:r>
      <w:r w:rsidRPr="00397B2E">
        <w:rPr>
          <w:rFonts w:ascii="Times New Roman" w:hAnsi="Times New Roman" w:cs="Times New Roman"/>
          <w:sz w:val="24"/>
          <w:szCs w:val="24"/>
        </w:rPr>
        <w:t xml:space="preserve">, l'altération de l'absorption de la bilirubine par les </w:t>
      </w:r>
      <w:r w:rsidR="005E17DA" w:rsidRPr="00397B2E">
        <w:rPr>
          <w:rFonts w:ascii="Times New Roman" w:hAnsi="Times New Roman" w:cs="Times New Roman"/>
          <w:sz w:val="24"/>
          <w:szCs w:val="24"/>
        </w:rPr>
        <w:t>cellules</w:t>
      </w:r>
      <w:r w:rsidRPr="00397B2E">
        <w:rPr>
          <w:rFonts w:ascii="Times New Roman" w:hAnsi="Times New Roman" w:cs="Times New Roman"/>
          <w:sz w:val="24"/>
          <w:szCs w:val="24"/>
        </w:rPr>
        <w:t xml:space="preserve"> hépatiques </w:t>
      </w:r>
      <w:r w:rsidR="005E17DA" w:rsidRPr="00397B2E">
        <w:rPr>
          <w:rFonts w:ascii="Times New Roman" w:hAnsi="Times New Roman" w:cs="Times New Roman"/>
          <w:sz w:val="24"/>
          <w:szCs w:val="24"/>
        </w:rPr>
        <w:t xml:space="preserve">et </w:t>
      </w:r>
      <w:r w:rsidRPr="00397B2E">
        <w:rPr>
          <w:rFonts w:ascii="Times New Roman" w:hAnsi="Times New Roman" w:cs="Times New Roman"/>
          <w:sz w:val="24"/>
          <w:szCs w:val="24"/>
        </w:rPr>
        <w:t xml:space="preserve">la diminution de la conjugaison de la bilirubine </w:t>
      </w:r>
      <w:r w:rsidR="00397B2E">
        <w:rPr>
          <w:rFonts w:ascii="Times New Roman" w:hAnsi="Times New Roman" w:cs="Times New Roman"/>
          <w:sz w:val="24"/>
          <w:szCs w:val="24"/>
        </w:rPr>
        <w:t>(</w:t>
      </w:r>
      <w:r w:rsidR="00397B2E" w:rsidRPr="00554AFA">
        <w:rPr>
          <w:rFonts w:ascii="Times New Roman" w:hAnsi="Times New Roman" w:cs="Times New Roman"/>
          <w:i/>
          <w:sz w:val="24"/>
          <w:szCs w:val="24"/>
        </w:rPr>
        <w:t>ictère hépatique</w:t>
      </w:r>
      <w:r w:rsidR="00397B2E">
        <w:rPr>
          <w:rFonts w:ascii="Times New Roman" w:hAnsi="Times New Roman" w:cs="Times New Roman"/>
          <w:sz w:val="24"/>
          <w:szCs w:val="24"/>
        </w:rPr>
        <w:t>)</w:t>
      </w:r>
      <w:r w:rsidRPr="00397B2E">
        <w:rPr>
          <w:rFonts w:ascii="Times New Roman" w:hAnsi="Times New Roman" w:cs="Times New Roman"/>
          <w:sz w:val="24"/>
          <w:szCs w:val="24"/>
        </w:rPr>
        <w:t xml:space="preserve">, ainsi que l'obstruction de l'écoulement biliaire dans les canalicules des lobules hépatiques ou dans les voies biliaires intrahépatiques ou extrahépatiques </w:t>
      </w:r>
      <w:r w:rsidR="00397B2E">
        <w:rPr>
          <w:rFonts w:ascii="Times New Roman" w:hAnsi="Times New Roman" w:cs="Times New Roman"/>
          <w:sz w:val="24"/>
          <w:szCs w:val="24"/>
        </w:rPr>
        <w:t>(</w:t>
      </w:r>
      <w:r w:rsidR="00397B2E" w:rsidRPr="00554AFA">
        <w:rPr>
          <w:rFonts w:ascii="Times New Roman" w:hAnsi="Times New Roman" w:cs="Times New Roman"/>
          <w:i/>
          <w:sz w:val="24"/>
          <w:szCs w:val="24"/>
        </w:rPr>
        <w:t>ictère mécanique</w:t>
      </w:r>
      <w:r w:rsidR="00397B2E">
        <w:rPr>
          <w:rFonts w:ascii="Times New Roman" w:hAnsi="Times New Roman" w:cs="Times New Roman"/>
          <w:sz w:val="24"/>
          <w:szCs w:val="24"/>
        </w:rPr>
        <w:t>)</w:t>
      </w:r>
      <w:r w:rsidRPr="00397B2E">
        <w:rPr>
          <w:rFonts w:ascii="Times New Roman" w:hAnsi="Times New Roman" w:cs="Times New Roman"/>
          <w:sz w:val="24"/>
          <w:szCs w:val="24"/>
        </w:rPr>
        <w:t xml:space="preserve">. </w:t>
      </w:r>
      <w:r w:rsidR="005E17DA" w:rsidRPr="00397B2E">
        <w:rPr>
          <w:rFonts w:ascii="Times New Roman" w:hAnsi="Times New Roman" w:cs="Times New Roman"/>
          <w:sz w:val="24"/>
          <w:szCs w:val="24"/>
        </w:rPr>
        <w:t xml:space="preserve">D'un </w:t>
      </w:r>
      <w:r w:rsidRPr="00397B2E">
        <w:rPr>
          <w:rFonts w:ascii="Times New Roman" w:hAnsi="Times New Roman" w:cs="Times New Roman"/>
          <w:sz w:val="24"/>
          <w:szCs w:val="24"/>
        </w:rPr>
        <w:t xml:space="preserve">point de vue </w:t>
      </w:r>
      <w:r w:rsidR="005E17DA" w:rsidRPr="00397B2E">
        <w:rPr>
          <w:rFonts w:ascii="Times New Roman" w:hAnsi="Times New Roman" w:cs="Times New Roman"/>
          <w:sz w:val="24"/>
          <w:szCs w:val="24"/>
        </w:rPr>
        <w:t>anatomique</w:t>
      </w:r>
      <w:r w:rsidRPr="00397B2E">
        <w:rPr>
          <w:rFonts w:ascii="Times New Roman" w:hAnsi="Times New Roman" w:cs="Times New Roman"/>
          <w:sz w:val="24"/>
          <w:szCs w:val="24"/>
        </w:rPr>
        <w:t xml:space="preserve">, l'ictère peut être classé en ictère préhépatique, intrahépatique et </w:t>
      </w:r>
      <w:r w:rsidRPr="005E17DA">
        <w:rPr>
          <w:rFonts w:ascii="Times New Roman" w:hAnsi="Times New Roman" w:cs="Times New Roman"/>
          <w:sz w:val="24"/>
          <w:szCs w:val="24"/>
        </w:rPr>
        <w:t xml:space="preserve">posthépatique. </w:t>
      </w:r>
    </w:p>
    <w:p w14:paraId="44513F4E" w14:textId="77777777" w:rsidR="00051B5F" w:rsidRDefault="00051B5F" w:rsidP="00554AFA">
      <w:pPr>
        <w:autoSpaceDE w:val="0"/>
        <w:autoSpaceDN w:val="0"/>
        <w:adjustRightInd w:val="0"/>
        <w:spacing w:after="0"/>
        <w:ind w:firstLine="720"/>
        <w:jc w:val="both"/>
        <w:rPr>
          <w:rFonts w:ascii="Times New Roman" w:hAnsi="Times New Roman" w:cs="Times New Roman"/>
          <w:sz w:val="24"/>
          <w:szCs w:val="24"/>
        </w:rPr>
      </w:pPr>
    </w:p>
    <w:p w14:paraId="7BF661EF" w14:textId="77777777" w:rsidR="00AF4623" w:rsidRPr="00AF4623" w:rsidRDefault="00DA7D84" w:rsidP="00AF4623">
      <w:pPr>
        <w:pStyle w:val="Titlu1"/>
        <w:rPr>
          <w:lang w:val="en-US"/>
        </w:rPr>
      </w:pPr>
      <w:r w:rsidRPr="00233A84">
        <w:rPr>
          <w:b/>
          <w:lang w:val="en-US"/>
        </w:rPr>
        <w:t xml:space="preserve">                  </w:t>
      </w:r>
      <w:r w:rsidRPr="004F743F">
        <w:rPr>
          <w:b/>
          <w:sz w:val="20"/>
          <w:lang w:val="en-US"/>
        </w:rPr>
        <w:t xml:space="preserve">JAUNISSEMENT PRÉHÉPATIQUE </w:t>
      </w:r>
      <w:r w:rsidRPr="00233A84">
        <w:rPr>
          <w:lang w:val="en-US"/>
        </w:rPr>
        <w:t>(</w:t>
      </w:r>
      <w:r w:rsidR="00915CAA" w:rsidRPr="00915CAA">
        <w:rPr>
          <w:i/>
          <w:lang w:val="en-US"/>
        </w:rPr>
        <w:t xml:space="preserve">jaunisse </w:t>
      </w:r>
      <w:r w:rsidRPr="00915CAA">
        <w:rPr>
          <w:i/>
          <w:lang w:val="en-US"/>
        </w:rPr>
        <w:t>hémolytique</w:t>
      </w:r>
      <w:r w:rsidRPr="00233A84">
        <w:rPr>
          <w:lang w:val="en-US"/>
        </w:rPr>
        <w:t>)</w:t>
      </w:r>
    </w:p>
    <w:p w14:paraId="3617FC6B" w14:textId="77777777" w:rsidR="00DA7D84" w:rsidRPr="00147DDA" w:rsidRDefault="00DC75CD" w:rsidP="00147DDA">
      <w:pPr>
        <w:autoSpaceDE w:val="0"/>
        <w:autoSpaceDN w:val="0"/>
        <w:adjustRightInd w:val="0"/>
        <w:spacing w:after="0"/>
        <w:ind w:firstLine="720"/>
        <w:jc w:val="both"/>
        <w:rPr>
          <w:rFonts w:ascii="Times New Roman" w:hAnsi="Times New Roman" w:cs="Times New Roman"/>
          <w:sz w:val="24"/>
          <w:szCs w:val="24"/>
        </w:rPr>
      </w:pPr>
      <w:r>
        <w:t xml:space="preserve">       </w:t>
      </w:r>
      <w:r w:rsidR="008C5B9C" w:rsidRPr="008C5B9C">
        <w:rPr>
          <w:rFonts w:ascii="Times New Roman" w:hAnsi="Times New Roman" w:cs="Times New Roman"/>
          <w:bCs/>
          <w:i/>
          <w:sz w:val="24"/>
          <w:szCs w:val="24"/>
        </w:rPr>
        <w:t xml:space="preserve">L'ictère préhépatique </w:t>
      </w:r>
      <w:r w:rsidR="008C5B9C" w:rsidRPr="004B2CCE">
        <w:rPr>
          <w:rFonts w:ascii="Times New Roman" w:hAnsi="Times New Roman" w:cs="Times New Roman"/>
          <w:sz w:val="24"/>
          <w:szCs w:val="24"/>
        </w:rPr>
        <w:t xml:space="preserve">résulte d'une augmentation de la production de bilirubine, par exemple dans les cas </w:t>
      </w:r>
      <w:r w:rsidR="008C5B9C" w:rsidRPr="008C5B9C">
        <w:rPr>
          <w:rFonts w:ascii="Times New Roman" w:hAnsi="Times New Roman" w:cs="Times New Roman"/>
          <w:iCs/>
          <w:sz w:val="24"/>
          <w:szCs w:val="24"/>
        </w:rPr>
        <w:t xml:space="preserve">d'hémolyse </w:t>
      </w:r>
      <w:r w:rsidR="008C5B9C" w:rsidRPr="004B2CCE">
        <w:rPr>
          <w:rFonts w:ascii="Times New Roman" w:hAnsi="Times New Roman" w:cs="Times New Roman"/>
          <w:sz w:val="24"/>
          <w:szCs w:val="24"/>
        </w:rPr>
        <w:t xml:space="preserve">(anémie hémolytique, toxines), </w:t>
      </w:r>
      <w:r w:rsidR="008C5B9C">
        <w:rPr>
          <w:rFonts w:ascii="Times New Roman" w:hAnsi="Times New Roman" w:cs="Times New Roman"/>
          <w:sz w:val="24"/>
          <w:szCs w:val="24"/>
        </w:rPr>
        <w:t xml:space="preserve">d'érythropoïèse </w:t>
      </w:r>
      <w:r w:rsidR="008C5B9C" w:rsidRPr="004B2CCE">
        <w:rPr>
          <w:rFonts w:ascii="Times New Roman" w:hAnsi="Times New Roman" w:cs="Times New Roman"/>
          <w:sz w:val="24"/>
          <w:szCs w:val="24"/>
        </w:rPr>
        <w:t xml:space="preserve">insuffisante </w:t>
      </w:r>
      <w:r w:rsidR="008C5B9C">
        <w:rPr>
          <w:rFonts w:ascii="Times New Roman" w:hAnsi="Times New Roman" w:cs="Times New Roman"/>
          <w:sz w:val="24"/>
          <w:szCs w:val="24"/>
        </w:rPr>
        <w:t>(</w:t>
      </w:r>
      <w:r w:rsidR="008C5B9C" w:rsidRPr="004B2CCE">
        <w:rPr>
          <w:rFonts w:ascii="Times New Roman" w:hAnsi="Times New Roman" w:cs="Times New Roman"/>
          <w:sz w:val="24"/>
          <w:szCs w:val="24"/>
        </w:rPr>
        <w:t xml:space="preserve">anémie mégaloblastique), de transfusion massive (les érythrocytes transfusés ont une durée de vie courte) ou d'absorption d'hématomes importants. Dans toutes ces conditions, </w:t>
      </w:r>
      <w:r w:rsidR="008C5B9C" w:rsidRPr="004B2CCE">
        <w:rPr>
          <w:rFonts w:ascii="Times New Roman" w:hAnsi="Times New Roman" w:cs="Times New Roman"/>
          <w:i/>
          <w:iCs/>
          <w:sz w:val="24"/>
          <w:szCs w:val="24"/>
        </w:rPr>
        <w:t xml:space="preserve">la bilirubine non conjuguée </w:t>
      </w:r>
      <w:r w:rsidR="008C5B9C" w:rsidRPr="004B2CCE">
        <w:rPr>
          <w:rFonts w:ascii="Times New Roman" w:hAnsi="Times New Roman" w:cs="Times New Roman"/>
          <w:sz w:val="24"/>
          <w:szCs w:val="24"/>
        </w:rPr>
        <w:t>(réaction</w:t>
      </w:r>
      <w:r w:rsidR="008C5B9C" w:rsidRPr="004B2CCE">
        <w:rPr>
          <w:rFonts w:ascii="Times New Roman" w:hAnsi="Times New Roman" w:cs="Times New Roman"/>
          <w:i/>
          <w:iCs/>
          <w:sz w:val="24"/>
          <w:szCs w:val="24"/>
        </w:rPr>
        <w:t xml:space="preserve"> indirecte</w:t>
      </w:r>
      <w:r w:rsidR="008C5B9C" w:rsidRPr="004B2CCE">
        <w:rPr>
          <w:rFonts w:ascii="Times New Roman" w:hAnsi="Times New Roman" w:cs="Times New Roman"/>
          <w:sz w:val="24"/>
          <w:szCs w:val="24"/>
        </w:rPr>
        <w:t>) dans le plasma augmente.</w:t>
      </w:r>
    </w:p>
    <w:p w14:paraId="513B729B" w14:textId="77777777" w:rsidR="00DA7D84" w:rsidRPr="00233A84" w:rsidRDefault="00DA7D84" w:rsidP="00DA7D84">
      <w:pPr>
        <w:pStyle w:val="Titlu1"/>
        <w:rPr>
          <w:lang w:val="en-US"/>
        </w:rPr>
      </w:pPr>
      <w:r w:rsidRPr="00233A84">
        <w:rPr>
          <w:b/>
          <w:lang w:val="en-US"/>
        </w:rPr>
        <w:t xml:space="preserve">            </w:t>
      </w:r>
      <w:r w:rsidRPr="00147DDA">
        <w:rPr>
          <w:i/>
          <w:lang w:val="en-US"/>
        </w:rPr>
        <w:t xml:space="preserve">Étiologie </w:t>
      </w:r>
      <w:r w:rsidRPr="00233A84">
        <w:rPr>
          <w:lang w:val="en-US"/>
        </w:rPr>
        <w:t xml:space="preserve">: les facteurs étiologiques sont identiques à ceux qui provoquent une hémolyse intracellulaire ou intravasculaire (voir anémies hémolytiques). </w:t>
      </w:r>
    </w:p>
    <w:p w14:paraId="70A88710" w14:textId="77777777" w:rsidR="00DC75CD" w:rsidRDefault="00DC75CD" w:rsidP="00DC75CD">
      <w:pPr>
        <w:pStyle w:val="Titlu1"/>
        <w:spacing w:line="276" w:lineRule="auto"/>
        <w:rPr>
          <w:b/>
          <w:lang w:val="en-US"/>
        </w:rPr>
      </w:pPr>
      <w:r>
        <w:rPr>
          <w:i/>
          <w:lang w:val="en-US"/>
        </w:rPr>
        <w:t xml:space="preserve">          </w:t>
      </w:r>
      <w:r w:rsidR="00DA7D84" w:rsidRPr="00DC75CD">
        <w:rPr>
          <w:i/>
          <w:lang w:val="en-US"/>
        </w:rPr>
        <w:t xml:space="preserve"> Pathogenèse</w:t>
      </w:r>
      <w:r>
        <w:rPr>
          <w:i/>
          <w:lang w:val="en-US"/>
        </w:rPr>
        <w:t xml:space="preserve">. </w:t>
      </w:r>
      <w:r w:rsidR="00DA7D84" w:rsidRPr="00233A84">
        <w:rPr>
          <w:lang w:val="en-US"/>
        </w:rPr>
        <w:t>La principale boucle pathogénique dans l'ictère préhépatique (hémolytique) est l'hyperhémolyse avec hyperbilirubinémie</w:t>
      </w:r>
      <w:r w:rsidR="0042645B">
        <w:rPr>
          <w:lang w:val="en-US"/>
        </w:rPr>
        <w:t xml:space="preserve"> non conjuguée </w:t>
      </w:r>
      <w:r w:rsidR="00DA7D84" w:rsidRPr="00233A84">
        <w:rPr>
          <w:lang w:val="en-US"/>
        </w:rPr>
        <w:t xml:space="preserve">(fraction libre), bien que l'hyperbilirubinémie dans l'ictère hémolytique puisse s'expliquer par certains mécanismes </w:t>
      </w:r>
      <w:r w:rsidR="0042645B">
        <w:rPr>
          <w:lang w:val="en-US"/>
        </w:rPr>
        <w:t>supplémentaires</w:t>
      </w:r>
      <w:r w:rsidR="00DA7D84" w:rsidRPr="00233A84">
        <w:rPr>
          <w:lang w:val="en-US"/>
        </w:rPr>
        <w:t xml:space="preserve">. L'un de ces mécanismes s'explique par le fait que la surproduction de bilirubine libre dans l'hémolyse dépasse les capacités fonctionnelles des hépatocytes (ce qui peut être interprété comme une incapacité hépatique fonctionnelle </w:t>
      </w:r>
      <w:r w:rsidR="0042645B">
        <w:rPr>
          <w:lang w:val="en-US"/>
        </w:rPr>
        <w:t xml:space="preserve">ou </w:t>
      </w:r>
      <w:r w:rsidR="00DA7D84" w:rsidRPr="00233A84">
        <w:rPr>
          <w:lang w:val="en-US"/>
        </w:rPr>
        <w:t xml:space="preserve">relative à absorber et à conjuguer la bilirubine libre du sang). Un autre mécanisme s'explique par le fait que certains facteurs hémolytiques d' s ont </w:t>
      </w:r>
      <w:r w:rsidR="0042645B">
        <w:rPr>
          <w:lang w:val="en-US"/>
        </w:rPr>
        <w:t xml:space="preserve">également </w:t>
      </w:r>
      <w:r w:rsidR="00DA7D84" w:rsidRPr="00233A84">
        <w:rPr>
          <w:lang w:val="en-US"/>
        </w:rPr>
        <w:t xml:space="preserve">des effets hépatotoxiques et peuvent altérer la capacité du foie à conjuguer la bilirubine libre.                    </w:t>
      </w:r>
    </w:p>
    <w:p w14:paraId="0C525A17" w14:textId="77777777" w:rsidR="00DA7D84" w:rsidRPr="00DC75CD" w:rsidRDefault="00DC75CD" w:rsidP="00DC75CD">
      <w:pPr>
        <w:pStyle w:val="Titlu1"/>
        <w:spacing w:line="276" w:lineRule="auto"/>
        <w:rPr>
          <w:i/>
          <w:lang w:val="en-US"/>
        </w:rPr>
      </w:pPr>
      <w:r>
        <w:rPr>
          <w:b/>
          <w:lang w:val="en-US"/>
        </w:rPr>
        <w:t xml:space="preserve">  </w:t>
      </w:r>
      <w:r w:rsidR="00DA7D84" w:rsidRPr="0042645B">
        <w:rPr>
          <w:i/>
          <w:lang w:val="en-US"/>
        </w:rPr>
        <w:t>Manifestations :</w:t>
      </w:r>
      <w:r w:rsidR="00DA7D84" w:rsidRPr="00233A84">
        <w:rPr>
          <w:lang w:val="en-US"/>
        </w:rPr>
        <w:t xml:space="preserve">  </w:t>
      </w:r>
      <w:r w:rsidR="0042645B">
        <w:rPr>
          <w:lang w:val="en-US"/>
        </w:rPr>
        <w:t xml:space="preserve"> </w:t>
      </w:r>
      <w:r w:rsidR="00DA7D84" w:rsidRPr="00233A84">
        <w:rPr>
          <w:lang w:val="en-US"/>
        </w:rPr>
        <w:t xml:space="preserve">Une quantité </w:t>
      </w:r>
      <w:r w:rsidR="0042645B">
        <w:rPr>
          <w:lang w:val="en-US"/>
        </w:rPr>
        <w:t xml:space="preserve">élevée </w:t>
      </w:r>
      <w:r w:rsidR="00DA7D84" w:rsidRPr="00233A84">
        <w:rPr>
          <w:lang w:val="en-US"/>
        </w:rPr>
        <w:t xml:space="preserve">de bilirubine libre absorbée par le foie intensifiera la conjugaison de la bilirubine libre. La quantité de bilirubine conjuguée </w:t>
      </w:r>
      <w:r w:rsidR="0042645B">
        <w:rPr>
          <w:lang w:val="en-US"/>
        </w:rPr>
        <w:t xml:space="preserve">produite par le foie </w:t>
      </w:r>
      <w:r w:rsidR="00DA7D84" w:rsidRPr="00233A84">
        <w:rPr>
          <w:lang w:val="en-US"/>
        </w:rPr>
        <w:t>augmentera considérablement</w:t>
      </w:r>
      <w:r w:rsidR="00DA7D84">
        <w:rPr>
          <w:lang w:val="en-US"/>
        </w:rPr>
        <w:t xml:space="preserve">. La bilirubine conjuguée </w:t>
      </w:r>
      <w:r w:rsidR="00DA7D84" w:rsidRPr="00233A84">
        <w:rPr>
          <w:lang w:val="en-US"/>
        </w:rPr>
        <w:t xml:space="preserve">excrétée dans l'intestin </w:t>
      </w:r>
      <w:r w:rsidR="00DA7D84">
        <w:rPr>
          <w:lang w:val="en-US"/>
        </w:rPr>
        <w:t xml:space="preserve">sera </w:t>
      </w:r>
      <w:r w:rsidR="0042645B">
        <w:rPr>
          <w:lang w:val="en-US"/>
        </w:rPr>
        <w:t xml:space="preserve">convertie </w:t>
      </w:r>
      <w:r w:rsidR="00DA7D84" w:rsidRPr="00233A84">
        <w:rPr>
          <w:lang w:val="en-US"/>
        </w:rPr>
        <w:t xml:space="preserve">en </w:t>
      </w:r>
      <w:r w:rsidR="00DA7D84">
        <w:rPr>
          <w:lang w:val="en-US"/>
        </w:rPr>
        <w:t xml:space="preserve">grandes quantités </w:t>
      </w:r>
      <w:r w:rsidR="00DA7D84" w:rsidRPr="00233A84">
        <w:rPr>
          <w:lang w:val="en-US"/>
        </w:rPr>
        <w:t xml:space="preserve">d'urobilinogène, de stercobilinogène et de stercobiline, ce qui entraînera une coloration intense des selles. Cette jaunisse est de type acolurique, de sorte que la bilirubine </w:t>
      </w:r>
      <w:r w:rsidR="00DA7D84">
        <w:rPr>
          <w:lang w:val="en-US"/>
        </w:rPr>
        <w:t xml:space="preserve">conjuguée sera absente </w:t>
      </w:r>
      <w:r w:rsidR="00DA7D84" w:rsidRPr="00233A84">
        <w:rPr>
          <w:lang w:val="en-US"/>
        </w:rPr>
        <w:t>dans l'urine</w:t>
      </w:r>
      <w:r w:rsidR="00DA7D84">
        <w:rPr>
          <w:lang w:val="en-US"/>
        </w:rPr>
        <w:t xml:space="preserve">. </w:t>
      </w:r>
      <w:r w:rsidR="00DA7D84" w:rsidRPr="00233A84">
        <w:rPr>
          <w:lang w:val="en-US"/>
        </w:rPr>
        <w:t xml:space="preserve">Cependant, </w:t>
      </w:r>
      <w:r w:rsidR="0042645B">
        <w:rPr>
          <w:lang w:val="en-US"/>
        </w:rPr>
        <w:t xml:space="preserve">on </w:t>
      </w:r>
      <w:r w:rsidR="00DA7D84" w:rsidRPr="00233A84">
        <w:rPr>
          <w:lang w:val="en-US"/>
        </w:rPr>
        <w:t xml:space="preserve">trouvera dans l'urine de grandes quantités de </w:t>
      </w:r>
      <w:r w:rsidR="0042645B">
        <w:rPr>
          <w:lang w:val="en-US"/>
        </w:rPr>
        <w:t xml:space="preserve">corps </w:t>
      </w:r>
      <w:r w:rsidR="00DA7D84" w:rsidRPr="00233A84">
        <w:rPr>
          <w:lang w:val="en-US"/>
        </w:rPr>
        <w:t>urobilinoïdes (fraction résumée de stercobiline + urobiline), la stercobiline prédominant.</w:t>
      </w:r>
    </w:p>
    <w:p w14:paraId="4E56DFC6" w14:textId="4195BF34" w:rsidR="005E17DA" w:rsidRPr="005E17DA" w:rsidRDefault="00CE7796" w:rsidP="007B649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0" allowOverlap="1" wp14:anchorId="5756A257" wp14:editId="46E10551">
                <wp:simplePos x="0" y="0"/>
                <wp:positionH relativeFrom="column">
                  <wp:posOffset>227965</wp:posOffset>
                </wp:positionH>
                <wp:positionV relativeFrom="paragraph">
                  <wp:posOffset>127000</wp:posOffset>
                </wp:positionV>
                <wp:extent cx="4559300" cy="3522980"/>
                <wp:effectExtent l="8890" t="12700" r="13335" b="762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3522980"/>
                          <a:chOff x="3010" y="3056"/>
                          <a:chExt cx="5831" cy="4474"/>
                        </a:xfrm>
                      </wpg:grpSpPr>
                      <wps:wsp>
                        <wps:cNvPr id="57" name="Line 49"/>
                        <wps:cNvCnPr>
                          <a:cxnSpLocks noChangeShapeType="1"/>
                        </wps:cNvCnPr>
                        <wps:spPr bwMode="auto">
                          <a:xfrm>
                            <a:off x="5628" y="4841"/>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0"/>
                        <wps:cNvSpPr>
                          <a:spLocks noChangeArrowheads="1"/>
                        </wps:cNvSpPr>
                        <wps:spPr bwMode="auto">
                          <a:xfrm>
                            <a:off x="6104" y="3056"/>
                            <a:ext cx="2737" cy="1071"/>
                          </a:xfrm>
                          <a:prstGeom prst="rect">
                            <a:avLst/>
                          </a:prstGeom>
                          <a:solidFill>
                            <a:srgbClr val="FFFFFF"/>
                          </a:solidFill>
                          <a:ln w="12700">
                            <a:solidFill>
                              <a:srgbClr val="000000"/>
                            </a:solidFill>
                            <a:miter lim="800000"/>
                            <a:headEnd/>
                            <a:tailEnd/>
                          </a:ln>
                        </wps:spPr>
                        <wps:txbx>
                          <w:txbxContent>
                            <w:p w14:paraId="0001EF93" w14:textId="77777777" w:rsidR="0076556E" w:rsidRPr="00F3791F" w:rsidRDefault="0076556E" w:rsidP="00DC75CD">
                              <w:pPr>
                                <w:pStyle w:val="Titlu2"/>
                                <w:jc w:val="center"/>
                                <w:rPr>
                                  <w:rFonts w:ascii="Arial" w:hAnsi="Arial"/>
                                  <w:sz w:val="16"/>
                                  <w:u w:val="single"/>
                                </w:rPr>
                              </w:pPr>
                              <w:r w:rsidRPr="00477ACB">
                                <w:rPr>
                                  <w:sz w:val="16"/>
                                  <w:u w:val="single"/>
                                </w:rPr>
                                <w:t>DANS LE SYSTÈME MACROPHAGIQUE</w:t>
                              </w:r>
                            </w:p>
                            <w:p w14:paraId="65509BBD" w14:textId="77777777" w:rsidR="0076556E" w:rsidRPr="00F3791F" w:rsidRDefault="0076556E" w:rsidP="00F3791F">
                              <w:pPr>
                                <w:jc w:val="center"/>
                                <w:rPr>
                                  <w:rFonts w:ascii="Times New Roman" w:hAnsi="Times New Roman" w:cs="Times New Roman"/>
                                  <w:sz w:val="20"/>
                                  <w:szCs w:val="20"/>
                                  <w:lang w:val="ro-RO"/>
                                </w:rPr>
                              </w:pPr>
                              <w:r w:rsidRPr="00F3791F">
                                <w:rPr>
                                  <w:rFonts w:ascii="Times New Roman" w:hAnsi="Times New Roman" w:cs="Times New Roman"/>
                                  <w:sz w:val="20"/>
                                  <w:szCs w:val="20"/>
                                  <w:lang w:val="ro-RO"/>
                                </w:rPr>
                                <w:t>L'hémoglobine produit un taux élevé de bilirubine non conjuguée.</w:t>
                              </w:r>
                            </w:p>
                          </w:txbxContent>
                        </wps:txbx>
                        <wps:bodyPr rot="0" vert="horz" wrap="square" lIns="91440" tIns="45720" rIns="91440" bIns="45720" anchor="t" anchorCtr="0" upright="1">
                          <a:noAutofit/>
                        </wps:bodyPr>
                      </wps:wsp>
                      <wps:wsp>
                        <wps:cNvPr id="59" name="Rectangle 51"/>
                        <wps:cNvSpPr>
                          <a:spLocks noChangeArrowheads="1"/>
                        </wps:cNvSpPr>
                        <wps:spPr bwMode="auto">
                          <a:xfrm>
                            <a:off x="3010" y="3056"/>
                            <a:ext cx="2618" cy="1071"/>
                          </a:xfrm>
                          <a:prstGeom prst="rect">
                            <a:avLst/>
                          </a:prstGeom>
                          <a:solidFill>
                            <a:srgbClr val="FFFFFF"/>
                          </a:solidFill>
                          <a:ln w="12700">
                            <a:solidFill>
                              <a:srgbClr val="000000"/>
                            </a:solidFill>
                            <a:miter lim="800000"/>
                            <a:headEnd/>
                            <a:tailEnd/>
                          </a:ln>
                        </wps:spPr>
                        <wps:txbx>
                          <w:txbxContent>
                            <w:p w14:paraId="4B94A32B" w14:textId="77777777" w:rsidR="0076556E" w:rsidRDefault="0076556E" w:rsidP="004F743F">
                              <w:pPr>
                                <w:pStyle w:val="Titlu2"/>
                                <w:jc w:val="center"/>
                                <w:rPr>
                                  <w:rFonts w:ascii="Arial" w:hAnsi="Arial"/>
                                  <w:sz w:val="16"/>
                                </w:rPr>
                              </w:pPr>
                              <w:r>
                                <w:rPr>
                                  <w:rFonts w:ascii="Arial" w:hAnsi="Arial"/>
                                  <w:sz w:val="16"/>
                                </w:rPr>
                                <w:t>DANS LA CIRCULATION SANGUINE</w:t>
                              </w:r>
                            </w:p>
                            <w:p w14:paraId="20448695" w14:textId="77777777" w:rsidR="0076556E" w:rsidRPr="00DC75CD" w:rsidRDefault="0076556E" w:rsidP="004F743F">
                              <w:pPr>
                                <w:pStyle w:val="Titlu3"/>
                                <w:jc w:val="center"/>
                                <w:rPr>
                                  <w:sz w:val="20"/>
                                </w:rPr>
                              </w:pPr>
                              <w:r w:rsidRPr="00DC75CD">
                                <w:rPr>
                                  <w:b w:val="0"/>
                                  <w:sz w:val="20"/>
                                </w:rPr>
                                <w:t>il y a une forte concentration de bilirubine non conjuguée</w:t>
                              </w:r>
                            </w:p>
                          </w:txbxContent>
                        </wps:txbx>
                        <wps:bodyPr rot="0" vert="horz" wrap="square" lIns="91440" tIns="45720" rIns="91440" bIns="45720" anchor="t" anchorCtr="0" upright="1">
                          <a:noAutofit/>
                        </wps:bodyPr>
                      </wps:wsp>
                      <wps:wsp>
                        <wps:cNvPr id="60" name="Rectangle 52"/>
                        <wps:cNvSpPr>
                          <a:spLocks noChangeArrowheads="1"/>
                        </wps:cNvSpPr>
                        <wps:spPr bwMode="auto">
                          <a:xfrm>
                            <a:off x="6104" y="4365"/>
                            <a:ext cx="2737" cy="1071"/>
                          </a:xfrm>
                          <a:prstGeom prst="rect">
                            <a:avLst/>
                          </a:prstGeom>
                          <a:solidFill>
                            <a:srgbClr val="FFFFFF"/>
                          </a:solidFill>
                          <a:ln w="12700">
                            <a:solidFill>
                              <a:srgbClr val="000000"/>
                            </a:solidFill>
                            <a:miter lim="800000"/>
                            <a:headEnd/>
                            <a:tailEnd/>
                          </a:ln>
                        </wps:spPr>
                        <wps:txbx>
                          <w:txbxContent>
                            <w:p w14:paraId="151AD983" w14:textId="77777777" w:rsidR="0076556E" w:rsidRPr="00477ACB" w:rsidRDefault="0076556E" w:rsidP="00F3791F">
                              <w:pPr>
                                <w:pStyle w:val="Titlu1"/>
                                <w:jc w:val="center"/>
                                <w:rPr>
                                  <w:rFonts w:ascii="Arial" w:hAnsi="Arial"/>
                                  <w:b/>
                                  <w:sz w:val="16"/>
                                  <w:szCs w:val="16"/>
                                  <w:u w:val="single"/>
                                </w:rPr>
                              </w:pPr>
                              <w:r w:rsidRPr="00477ACB">
                                <w:rPr>
                                  <w:rFonts w:ascii="Arial" w:hAnsi="Arial"/>
                                  <w:b/>
                                  <w:sz w:val="16"/>
                                  <w:szCs w:val="16"/>
                                  <w:u w:val="single"/>
                                </w:rPr>
                                <w:t>DANS L'INTESTIN GRÊLE</w:t>
                              </w:r>
                            </w:p>
                            <w:p w14:paraId="4217330F" w14:textId="77777777" w:rsidR="0076556E" w:rsidRPr="00DC75CD" w:rsidRDefault="0076556E" w:rsidP="004F743F">
                              <w:pPr>
                                <w:pStyle w:val="Titlu3"/>
                                <w:rPr>
                                  <w:sz w:val="20"/>
                                </w:rPr>
                              </w:pPr>
                              <w:r>
                                <w:rPr>
                                  <w:rFonts w:ascii="Arial" w:hAnsi="Arial"/>
                                  <w:b w:val="0"/>
                                </w:rPr>
                                <w:t xml:space="preserve"> </w:t>
                              </w:r>
                              <w:r w:rsidRPr="00DC75CD">
                                <w:rPr>
                                  <w:b w:val="0"/>
                                  <w:sz w:val="20"/>
                                </w:rPr>
                                <w:t>La bilirubine conjuguée est transformée en grandes quantités d'urobilinogène, dont une quantité plus importante entrera également dans la circulation entéro-hépatique.</w:t>
                              </w:r>
                            </w:p>
                          </w:txbxContent>
                        </wps:txbx>
                        <wps:bodyPr rot="0" vert="horz" wrap="square" lIns="91440" tIns="45720" rIns="91440" bIns="45720" anchor="t" anchorCtr="0" upright="1">
                          <a:noAutofit/>
                        </wps:bodyPr>
                      </wps:wsp>
                      <wps:wsp>
                        <wps:cNvPr id="61" name="Rectangle 53"/>
                        <wps:cNvSpPr>
                          <a:spLocks noChangeArrowheads="1"/>
                        </wps:cNvSpPr>
                        <wps:spPr bwMode="auto">
                          <a:xfrm>
                            <a:off x="3015" y="4383"/>
                            <a:ext cx="2647" cy="1053"/>
                          </a:xfrm>
                          <a:prstGeom prst="rect">
                            <a:avLst/>
                          </a:prstGeom>
                          <a:solidFill>
                            <a:srgbClr val="FFFFFF"/>
                          </a:solidFill>
                          <a:ln w="12700">
                            <a:solidFill>
                              <a:srgbClr val="000000"/>
                            </a:solidFill>
                            <a:miter lim="800000"/>
                            <a:headEnd/>
                            <a:tailEnd/>
                          </a:ln>
                        </wps:spPr>
                        <wps:txbx>
                          <w:txbxContent>
                            <w:p w14:paraId="3CC3C41A" w14:textId="77777777" w:rsidR="0076556E" w:rsidRPr="0042645B" w:rsidRDefault="0076556E" w:rsidP="0042645B">
                              <w:pPr>
                                <w:pStyle w:val="Titlu2"/>
                                <w:jc w:val="center"/>
                                <w:rPr>
                                  <w:rFonts w:ascii="Arial" w:hAnsi="Arial"/>
                                  <w:sz w:val="16"/>
                                  <w:u w:val="single"/>
                                </w:rPr>
                              </w:pPr>
                              <w:r w:rsidRPr="00954CEC">
                                <w:rPr>
                                  <w:rFonts w:ascii="Arial" w:hAnsi="Arial"/>
                                  <w:sz w:val="16"/>
                                  <w:u w:val="single"/>
                                </w:rPr>
                                <w:t>DANS LE FOIE</w:t>
                              </w:r>
                            </w:p>
                            <w:p w14:paraId="3D46EE44" w14:textId="77777777" w:rsidR="0076556E" w:rsidRPr="0042645B" w:rsidRDefault="0076556E" w:rsidP="0042645B">
                              <w:pPr>
                                <w:pStyle w:val="Titlu2"/>
                                <w:jc w:val="center"/>
                                <w:rPr>
                                  <w:sz w:val="20"/>
                                </w:rPr>
                              </w:pPr>
                              <w:r w:rsidRPr="0042645B">
                                <w:rPr>
                                  <w:b w:val="0"/>
                                  <w:sz w:val="20"/>
                                </w:rPr>
                                <w:t>La bilirubine libre est capturée et convertie en quantités excessives de bilirubine conjuguée</w:t>
                              </w:r>
                            </w:p>
                          </w:txbxContent>
                        </wps:txbx>
                        <wps:bodyPr rot="0" vert="horz" wrap="square" lIns="91440" tIns="45720" rIns="91440" bIns="45720" anchor="t" anchorCtr="0" upright="1">
                          <a:noAutofit/>
                        </wps:bodyPr>
                      </wps:wsp>
                      <wps:wsp>
                        <wps:cNvPr id="62" name="Line 54"/>
                        <wps:cNvCnPr>
                          <a:cxnSpLocks noChangeShapeType="1"/>
                        </wps:cNvCnPr>
                        <wps:spPr bwMode="auto">
                          <a:xfrm>
                            <a:off x="5594" y="62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55"/>
                        <wps:cNvSpPr>
                          <a:spLocks noChangeArrowheads="1"/>
                        </wps:cNvSpPr>
                        <wps:spPr bwMode="auto">
                          <a:xfrm>
                            <a:off x="3010" y="5674"/>
                            <a:ext cx="2628" cy="1301"/>
                          </a:xfrm>
                          <a:prstGeom prst="rect">
                            <a:avLst/>
                          </a:prstGeom>
                          <a:solidFill>
                            <a:srgbClr val="FFFFFF"/>
                          </a:solidFill>
                          <a:ln w="12700">
                            <a:solidFill>
                              <a:srgbClr val="000000"/>
                            </a:solidFill>
                            <a:miter lim="800000"/>
                            <a:headEnd/>
                            <a:tailEnd/>
                          </a:ln>
                        </wps:spPr>
                        <wps:txbx>
                          <w:txbxContent>
                            <w:p w14:paraId="682FBF84" w14:textId="77777777" w:rsidR="0076556E" w:rsidRPr="0022300F" w:rsidRDefault="0076556E" w:rsidP="004F743F">
                              <w:pPr>
                                <w:pStyle w:val="Titlu4"/>
                                <w:jc w:val="center"/>
                                <w:rPr>
                                  <w:rFonts w:ascii="Arial" w:hAnsi="Arial"/>
                                  <w:b/>
                                  <w:caps/>
                                  <w:sz w:val="16"/>
                                  <w:u w:val="single"/>
                                </w:rPr>
                              </w:pPr>
                              <w:r w:rsidRPr="0022300F">
                                <w:rPr>
                                  <w:rFonts w:ascii="Arial" w:hAnsi="Arial"/>
                                  <w:b/>
                                  <w:caps/>
                                  <w:sz w:val="16"/>
                                  <w:u w:val="single"/>
                                </w:rPr>
                                <w:t>DANS L'URINE</w:t>
                              </w:r>
                            </w:p>
                            <w:p w14:paraId="0AD30672" w14:textId="77777777" w:rsidR="0076556E" w:rsidRPr="0042645B" w:rsidRDefault="0076556E" w:rsidP="00DC75CD">
                              <w:pPr>
                                <w:jc w:val="both"/>
                                <w:rPr>
                                  <w:rFonts w:ascii="Times New Roman" w:hAnsi="Times New Roman" w:cs="Times New Roman"/>
                                  <w:sz w:val="20"/>
                                  <w:szCs w:val="20"/>
                                </w:rPr>
                              </w:pPr>
                              <w:r w:rsidRPr="0042645B">
                                <w:rPr>
                                  <w:rFonts w:ascii="Times New Roman" w:hAnsi="Times New Roman" w:cs="Times New Roman"/>
                                  <w:sz w:val="20"/>
                                  <w:szCs w:val="20"/>
                                  <w:lang w:val="ro-RO"/>
                                </w:rPr>
                                <w:t xml:space="preserve">L'augmentation de la fraction résumée des corps urobilinoïdes  </w:t>
                              </w:r>
                              <w:r w:rsidRPr="0042645B">
                                <w:rPr>
                                  <w:rFonts w:ascii="Times New Roman" w:hAnsi="Times New Roman" w:cs="Times New Roman"/>
                                  <w:sz w:val="20"/>
                                  <w:szCs w:val="20"/>
                                </w:rPr>
                                <w:t>(</w:t>
                              </w:r>
                              <w:r>
                                <w:rPr>
                                  <w:rFonts w:ascii="Times New Roman" w:hAnsi="Times New Roman" w:cs="Times New Roman"/>
                                  <w:sz w:val="20"/>
                                  <w:szCs w:val="20"/>
                                </w:rPr>
                                <w:t>stercobiline et urobiline</w:t>
                              </w:r>
                              <w:r w:rsidRPr="0042645B">
                                <w:rPr>
                                  <w:rFonts w:ascii="Times New Roman" w:hAnsi="Times New Roman" w:cs="Times New Roman"/>
                                  <w:sz w:val="20"/>
                                  <w:szCs w:val="20"/>
                                </w:rPr>
                                <w:t>) confère à l'urine une apparence foncée.</w:t>
                              </w:r>
                            </w:p>
                          </w:txbxContent>
                        </wps:txbx>
                        <wps:bodyPr rot="0" vert="horz" wrap="square" lIns="91440" tIns="45720" rIns="91440" bIns="45720" anchor="t" anchorCtr="0" upright="1">
                          <a:noAutofit/>
                        </wps:bodyPr>
                      </wps:wsp>
                      <wps:wsp>
                        <wps:cNvPr id="64" name="Rectangle 56"/>
                        <wps:cNvSpPr>
                          <a:spLocks noChangeArrowheads="1"/>
                        </wps:cNvSpPr>
                        <wps:spPr bwMode="auto">
                          <a:xfrm>
                            <a:off x="6104" y="5674"/>
                            <a:ext cx="2737" cy="1329"/>
                          </a:xfrm>
                          <a:prstGeom prst="rect">
                            <a:avLst/>
                          </a:prstGeom>
                          <a:solidFill>
                            <a:srgbClr val="FFFFFF"/>
                          </a:solidFill>
                          <a:ln w="12700">
                            <a:solidFill>
                              <a:srgbClr val="000000"/>
                            </a:solidFill>
                            <a:miter lim="800000"/>
                            <a:headEnd/>
                            <a:tailEnd/>
                          </a:ln>
                        </wps:spPr>
                        <wps:txbx>
                          <w:txbxContent>
                            <w:p w14:paraId="248F48DB" w14:textId="77777777" w:rsidR="0076556E" w:rsidRPr="00F3791F" w:rsidRDefault="0076556E" w:rsidP="00DC75CD">
                              <w:pPr>
                                <w:pStyle w:val="Titlu1"/>
                                <w:jc w:val="center"/>
                                <w:rPr>
                                  <w:rFonts w:ascii="Arial" w:hAnsi="Arial"/>
                                  <w:b/>
                                  <w:sz w:val="16"/>
                                  <w:szCs w:val="16"/>
                                  <w:u w:val="single"/>
                                </w:rPr>
                              </w:pPr>
                              <w:r w:rsidRPr="00477ACB">
                                <w:rPr>
                                  <w:rFonts w:ascii="Arial" w:hAnsi="Arial"/>
                                  <w:b/>
                                  <w:sz w:val="16"/>
                                  <w:szCs w:val="16"/>
                                  <w:u w:val="single"/>
                                </w:rPr>
                                <w:t>DANS LE GROS INTESTIN</w:t>
                              </w:r>
                            </w:p>
                            <w:p w14:paraId="27EAD007" w14:textId="77777777" w:rsidR="0076556E" w:rsidRPr="00F3791F" w:rsidRDefault="0076556E" w:rsidP="00DC75CD">
                              <w:pPr>
                                <w:pStyle w:val="Titlu1"/>
                                <w:rPr>
                                  <w:sz w:val="20"/>
                                  <w:lang w:val="en-US"/>
                                </w:rPr>
                              </w:pPr>
                              <w:r w:rsidRPr="00F3791F">
                                <w:rPr>
                                  <w:sz w:val="20"/>
                                  <w:lang w:val="en-US"/>
                                </w:rPr>
                                <w:t>L'urobilinogène est transformé en stercobilinogène, puis en stercobiline (les selles sont surcolorées)</w:t>
                              </w:r>
                            </w:p>
                          </w:txbxContent>
                        </wps:txbx>
                        <wps:bodyPr rot="0" vert="horz" wrap="square" lIns="91440" tIns="45720" rIns="91440" bIns="45720" anchor="t" anchorCtr="0" upright="1">
                          <a:noAutofit/>
                        </wps:bodyPr>
                      </wps:wsp>
                      <wps:wsp>
                        <wps:cNvPr id="65" name="Text Box 57"/>
                        <wps:cNvSpPr txBox="1">
                          <a:spLocks noChangeArrowheads="1"/>
                        </wps:cNvSpPr>
                        <wps:spPr bwMode="auto">
                          <a:xfrm>
                            <a:off x="3248" y="7102"/>
                            <a:ext cx="5346" cy="428"/>
                          </a:xfrm>
                          <a:prstGeom prst="rect">
                            <a:avLst/>
                          </a:prstGeom>
                          <a:solidFill>
                            <a:srgbClr val="FFFFFF"/>
                          </a:solidFill>
                          <a:ln w="9525">
                            <a:solidFill>
                              <a:srgbClr val="000000"/>
                            </a:solidFill>
                            <a:miter lim="800000"/>
                            <a:headEnd/>
                            <a:tailEnd/>
                          </a:ln>
                        </wps:spPr>
                        <wps:txbx>
                          <w:txbxContent>
                            <w:p w14:paraId="600038E1" w14:textId="77777777" w:rsidR="0076556E" w:rsidRPr="00954CEC" w:rsidRDefault="0076556E" w:rsidP="004F743F">
                              <w:pPr>
                                <w:jc w:val="center"/>
                                <w:rPr>
                                  <w:b/>
                                  <w:lang w:val="ro-RO"/>
                                </w:rPr>
                              </w:pPr>
                              <w:r w:rsidRPr="00954CEC">
                                <w:rPr>
                                  <w:rFonts w:ascii="Arial" w:hAnsi="Arial"/>
                                  <w:b/>
                                  <w:sz w:val="18"/>
                                  <w:lang w:val="ro-RO"/>
                                </w:rPr>
                                <w:t>Métabolisme des pigments biliaires dans l'ictère hémolytique</w:t>
                              </w:r>
                            </w:p>
                          </w:txbxContent>
                        </wps:txbx>
                        <wps:bodyPr rot="0" vert="horz" wrap="square" lIns="91440" tIns="45720" rIns="91440" bIns="45720" anchor="t" anchorCtr="0" upright="1">
                          <a:noAutofit/>
                        </wps:bodyPr>
                      </wps:wsp>
                      <wps:wsp>
                        <wps:cNvPr id="66" name="Line 58"/>
                        <wps:cNvCnPr>
                          <a:cxnSpLocks noChangeShapeType="1"/>
                        </wps:cNvCnPr>
                        <wps:spPr bwMode="auto">
                          <a:xfrm flipH="1">
                            <a:off x="5628" y="3532"/>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4319" y="412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7413" y="5436"/>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flipH="1">
                            <a:off x="5866" y="5198"/>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62"/>
                        <wps:cNvCnPr>
                          <a:cxnSpLocks noChangeShapeType="1"/>
                        </wps:cNvCnPr>
                        <wps:spPr bwMode="auto">
                          <a:xfrm>
                            <a:off x="5866" y="51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flipH="1">
                            <a:off x="5628" y="6150"/>
                            <a:ext cx="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6A257" id="Group 48" o:spid="_x0000_s1026" style="position:absolute;left:0;text-align:left;margin-left:17.95pt;margin-top:10pt;width:359pt;height:277.4pt;z-index:251661312" coordorigin="3010,3056" coordsize="5831,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" o:allowincell="f">
                <v:line id="Line 49" o:spid="_x0000_s1027" style="position:absolute;visibility:visible;mso-wrap-style:square" from="5628,4841" to="6104,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rect id="Rectangle 50" o:spid="_x0000_s1028" style="position:absolute;left:6104;top:3056;width:2737;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" strokeweight="1pt">
                  <v:textbox>
                    <w:txbxContent>
                      <w:p w14:paraId="0001EF93" w14:textId="77777777" w:rsidR="0076556E" w:rsidRPr="00F3791F" w:rsidRDefault="0076556E" w:rsidP="00DC75CD">
                        <w:pPr>
                          <w:pStyle w:val="Titlu2"/>
                          <w:jc w:val="center"/>
                          <w:rPr>
                            <w:rFonts w:ascii="Arial" w:hAnsi="Arial"/>
                            <w:sz w:val="16"/>
                            <w:u w:val="single"/>
                          </w:rPr>
                        </w:pPr>
                        <w:r w:rsidRPr="00477ACB">
                          <w:rPr>
                            <w:sz w:val="16"/>
                            <w:u w:val="single"/>
                          </w:rPr>
                          <w:t>DANS LE SYSTÈME MACROPHAGIQUE</w:t>
                        </w:r>
                      </w:p>
                      <w:p w14:paraId="65509BBD" w14:textId="77777777" w:rsidR="0076556E" w:rsidRPr="00F3791F" w:rsidRDefault="0076556E" w:rsidP="00F3791F">
                        <w:pPr>
                          <w:jc w:val="center"/>
                          <w:rPr>
                            <w:rFonts w:ascii="Times New Roman" w:hAnsi="Times New Roman" w:cs="Times New Roman"/>
                            <w:sz w:val="20"/>
                            <w:szCs w:val="20"/>
                            <w:lang w:val="ro-RO"/>
                          </w:rPr>
                        </w:pPr>
                        <w:r w:rsidRPr="00F3791F">
                          <w:rPr>
                            <w:rFonts w:ascii="Times New Roman" w:hAnsi="Times New Roman" w:cs="Times New Roman"/>
                            <w:sz w:val="20"/>
                            <w:szCs w:val="20"/>
                            <w:lang w:val="ro-RO"/>
                          </w:rPr>
                          <w:t>L'hémoglobine produit un taux élevé de bilirubine non conjuguée.</w:t>
                        </w:r>
                      </w:p>
                    </w:txbxContent>
                  </v:textbox>
                </v:rect>
                <v:rect id="Rectangle 51" o:spid="_x0000_s1029" style="position:absolute;left:3010;top:3056;width:261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" strokeweight="1pt">
                  <v:textbox>
                    <w:txbxContent>
                      <w:p w14:paraId="4B94A32B" w14:textId="77777777" w:rsidR="0076556E" w:rsidRDefault="0076556E" w:rsidP="004F743F">
                        <w:pPr>
                          <w:pStyle w:val="Titlu2"/>
                          <w:jc w:val="center"/>
                          <w:rPr>
                            <w:rFonts w:ascii="Arial" w:hAnsi="Arial"/>
                            <w:sz w:val="16"/>
                          </w:rPr>
                        </w:pPr>
                        <w:r>
                          <w:rPr>
                            <w:rFonts w:ascii="Arial" w:hAnsi="Arial"/>
                            <w:sz w:val="16"/>
                          </w:rPr>
                          <w:t>DANS LA CIRCULATION SANGUINE</w:t>
                        </w:r>
                      </w:p>
                      <w:p w14:paraId="20448695" w14:textId="77777777" w:rsidR="0076556E" w:rsidRPr="00DC75CD" w:rsidRDefault="0076556E" w:rsidP="004F743F">
                        <w:pPr>
                          <w:pStyle w:val="Titlu3"/>
                          <w:jc w:val="center"/>
                          <w:rPr>
                            <w:sz w:val="20"/>
                          </w:rPr>
                        </w:pPr>
                        <w:r w:rsidRPr="00DC75CD">
                          <w:rPr>
                            <w:b w:val="0"/>
                            <w:sz w:val="20"/>
                          </w:rPr>
                          <w:t>il y a une forte concentration de bilirubine non conjuguée</w:t>
                        </w:r>
                      </w:p>
                    </w:txbxContent>
                  </v:textbox>
                </v:rect>
                <v:rect id="Rectangle 52" o:spid="_x0000_s1030" style="position:absolute;left:6104;top:4365;width:2737;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" strokeweight="1pt">
                  <v:textbox>
                    <w:txbxContent>
                      <w:p w14:paraId="151AD983" w14:textId="77777777" w:rsidR="0076556E" w:rsidRPr="00477ACB" w:rsidRDefault="0076556E" w:rsidP="00F3791F">
                        <w:pPr>
                          <w:pStyle w:val="Titlu1"/>
                          <w:jc w:val="center"/>
                          <w:rPr>
                            <w:rFonts w:ascii="Arial" w:hAnsi="Arial"/>
                            <w:b/>
                            <w:sz w:val="16"/>
                            <w:szCs w:val="16"/>
                            <w:u w:val="single"/>
                          </w:rPr>
                        </w:pPr>
                        <w:r w:rsidRPr="00477ACB">
                          <w:rPr>
                            <w:rFonts w:ascii="Arial" w:hAnsi="Arial"/>
                            <w:b/>
                            <w:sz w:val="16"/>
                            <w:szCs w:val="16"/>
                            <w:u w:val="single"/>
                          </w:rPr>
                          <w:t>DANS L'INTESTIN GRÊLE</w:t>
                        </w:r>
                      </w:p>
                      <w:p w14:paraId="4217330F" w14:textId="77777777" w:rsidR="0076556E" w:rsidRPr="00DC75CD" w:rsidRDefault="0076556E" w:rsidP="004F743F">
                        <w:pPr>
                          <w:pStyle w:val="Titlu3"/>
                          <w:rPr>
                            <w:sz w:val="20"/>
                          </w:rPr>
                        </w:pPr>
                        <w:r>
                          <w:rPr>
                            <w:rFonts w:ascii="Arial" w:hAnsi="Arial"/>
                            <w:b w:val="0"/>
                          </w:rPr>
                          <w:t xml:space="preserve"> </w:t>
                        </w:r>
                        <w:r w:rsidRPr="00DC75CD">
                          <w:rPr>
                            <w:b w:val="0"/>
                            <w:sz w:val="20"/>
                          </w:rPr>
                          <w:t>La bilirubine conjuguée est transformée en grandes quantités d'urobilinogène, dont une quantité plus importante entrera également dans la circulation entéro-hépatique.</w:t>
                        </w:r>
                      </w:p>
                    </w:txbxContent>
                  </v:textbox>
                </v:rect>
                <v:rect id="Rectangle 53" o:spid="_x0000_s1031" style="position:absolute;left:3015;top:4383;width:2647;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" strokeweight="1pt">
                  <v:textbox>
                    <w:txbxContent>
                      <w:p w14:paraId="3CC3C41A" w14:textId="77777777" w:rsidR="0076556E" w:rsidRPr="0042645B" w:rsidRDefault="0076556E" w:rsidP="0042645B">
                        <w:pPr>
                          <w:pStyle w:val="Titlu2"/>
                          <w:jc w:val="center"/>
                          <w:rPr>
                            <w:rFonts w:ascii="Arial" w:hAnsi="Arial"/>
                            <w:sz w:val="16"/>
                            <w:u w:val="single"/>
                          </w:rPr>
                        </w:pPr>
                        <w:r w:rsidRPr="00954CEC">
                          <w:rPr>
                            <w:rFonts w:ascii="Arial" w:hAnsi="Arial"/>
                            <w:sz w:val="16"/>
                            <w:u w:val="single"/>
                          </w:rPr>
                          <w:t>DANS LE FOIE</w:t>
                        </w:r>
                      </w:p>
                      <w:p w14:paraId="3D46EE44" w14:textId="77777777" w:rsidR="0076556E" w:rsidRPr="0042645B" w:rsidRDefault="0076556E" w:rsidP="0042645B">
                        <w:pPr>
                          <w:pStyle w:val="Titlu2"/>
                          <w:jc w:val="center"/>
                          <w:rPr>
                            <w:sz w:val="20"/>
                          </w:rPr>
                        </w:pPr>
                        <w:r w:rsidRPr="0042645B">
                          <w:rPr>
                            <w:b w:val="0"/>
                            <w:sz w:val="20"/>
                          </w:rPr>
                          <w:t>La bilirubine libre est capturée et convertie en quantités excessives de bilirubine conjuguée</w:t>
                        </w:r>
                      </w:p>
                    </w:txbxContent>
                  </v:textbox>
                </v:rect>
                <v:line id="Line 54" o:spid="_x0000_s1032" style="position:absolute;visibility:visible;mso-wrap-style:square" from="5594,6257" to="5595,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rect id="Rectangle 55" o:spid="_x0000_s1033" style="position:absolute;left:3010;top:5674;width:262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" strokeweight="1pt">
                  <v:textbox>
                    <w:txbxContent>
                      <w:p w14:paraId="682FBF84" w14:textId="77777777" w:rsidR="0076556E" w:rsidRPr="0022300F" w:rsidRDefault="0076556E" w:rsidP="004F743F">
                        <w:pPr>
                          <w:pStyle w:val="Titlu4"/>
                          <w:jc w:val="center"/>
                          <w:rPr>
                            <w:rFonts w:ascii="Arial" w:hAnsi="Arial"/>
                            <w:b/>
                            <w:caps/>
                            <w:sz w:val="16"/>
                            <w:u w:val="single"/>
                          </w:rPr>
                        </w:pPr>
                        <w:r w:rsidRPr="0022300F">
                          <w:rPr>
                            <w:rFonts w:ascii="Arial" w:hAnsi="Arial"/>
                            <w:b/>
                            <w:caps/>
                            <w:sz w:val="16"/>
                            <w:u w:val="single"/>
                          </w:rPr>
                          <w:t>DANS L'URINE</w:t>
                        </w:r>
                      </w:p>
                      <w:p w14:paraId="0AD30672" w14:textId="77777777" w:rsidR="0076556E" w:rsidRPr="0042645B" w:rsidRDefault="0076556E" w:rsidP="00DC75CD">
                        <w:pPr>
                          <w:jc w:val="both"/>
                          <w:rPr>
                            <w:rFonts w:ascii="Times New Roman" w:hAnsi="Times New Roman" w:cs="Times New Roman"/>
                            <w:sz w:val="20"/>
                            <w:szCs w:val="20"/>
                          </w:rPr>
                        </w:pPr>
                        <w:r w:rsidRPr="0042645B">
                          <w:rPr>
                            <w:rFonts w:ascii="Times New Roman" w:hAnsi="Times New Roman" w:cs="Times New Roman"/>
                            <w:sz w:val="20"/>
                            <w:szCs w:val="20"/>
                            <w:lang w:val="ro-RO"/>
                          </w:rPr>
                          <w:t xml:space="preserve">L'augmentation de la fraction résumée des corps urobilinoïdes  </w:t>
                        </w:r>
                        <w:r w:rsidRPr="0042645B">
                          <w:rPr>
                            <w:rFonts w:ascii="Times New Roman" w:hAnsi="Times New Roman" w:cs="Times New Roman"/>
                            <w:sz w:val="20"/>
                            <w:szCs w:val="20"/>
                          </w:rPr>
                          <w:t>(</w:t>
                        </w:r>
                        <w:r>
                          <w:rPr>
                            <w:rFonts w:ascii="Times New Roman" w:hAnsi="Times New Roman" w:cs="Times New Roman"/>
                            <w:sz w:val="20"/>
                            <w:szCs w:val="20"/>
                          </w:rPr>
                          <w:t>stercobiline et urobiline</w:t>
                        </w:r>
                        <w:r w:rsidRPr="0042645B">
                          <w:rPr>
                            <w:rFonts w:ascii="Times New Roman" w:hAnsi="Times New Roman" w:cs="Times New Roman"/>
                            <w:sz w:val="20"/>
                            <w:szCs w:val="20"/>
                          </w:rPr>
                          <w:t>) confère à l'urine une apparence foncée.</w:t>
                        </w:r>
                      </w:p>
                    </w:txbxContent>
                  </v:textbox>
                </v:rect>
                <v:rect id="Rectangle 56" o:spid="_x0000_s1034" style="position:absolute;left:6104;top:5674;width:2737;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" strokeweight="1pt">
                  <v:textbox>
                    <w:txbxContent>
                      <w:p w14:paraId="248F48DB" w14:textId="77777777" w:rsidR="0076556E" w:rsidRPr="00F3791F" w:rsidRDefault="0076556E" w:rsidP="00DC75CD">
                        <w:pPr>
                          <w:pStyle w:val="Titlu1"/>
                          <w:jc w:val="center"/>
                          <w:rPr>
                            <w:rFonts w:ascii="Arial" w:hAnsi="Arial"/>
                            <w:b/>
                            <w:sz w:val="16"/>
                            <w:szCs w:val="16"/>
                            <w:u w:val="single"/>
                          </w:rPr>
                        </w:pPr>
                        <w:r w:rsidRPr="00477ACB">
                          <w:rPr>
                            <w:rFonts w:ascii="Arial" w:hAnsi="Arial"/>
                            <w:b/>
                            <w:sz w:val="16"/>
                            <w:szCs w:val="16"/>
                            <w:u w:val="single"/>
                          </w:rPr>
                          <w:t>DANS LE GROS INTESTIN</w:t>
                        </w:r>
                      </w:p>
                      <w:p w14:paraId="27EAD007" w14:textId="77777777" w:rsidR="0076556E" w:rsidRPr="00F3791F" w:rsidRDefault="0076556E" w:rsidP="00DC75CD">
                        <w:pPr>
                          <w:pStyle w:val="Titlu1"/>
                          <w:rPr>
                            <w:sz w:val="20"/>
                            <w:lang w:val="en-US"/>
                          </w:rPr>
                        </w:pPr>
                        <w:r w:rsidRPr="00F3791F">
                          <w:rPr>
                            <w:sz w:val="20"/>
                            <w:lang w:val="en-US"/>
                          </w:rPr>
                          <w:t>L'urobilinogène est transformé en stercobilinogène, puis en stercobiline (les selles sont surcolorées)</w:t>
                        </w:r>
                      </w:p>
                    </w:txbxContent>
                  </v:textbox>
                </v:rect>
                <v:shapetype id="_x0000_t202" coordsize="21600,21600" o:spt="202" path="m,l,21600r21600,l21600,xe">
                  <v:stroke joinstyle="miter"/>
                  <v:path gradientshapeok="t" o:connecttype="rect"/>
                </v:shapetype>
                <v:shape id="Text Box 57" o:spid="_x0000_s1035" type="#_x0000_t202" style="position:absolute;left:3248;top:7102;width:534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600038E1" w14:textId="77777777" w:rsidR="0076556E" w:rsidRPr="00954CEC" w:rsidRDefault="0076556E" w:rsidP="004F743F">
                        <w:pPr>
                          <w:jc w:val="center"/>
                          <w:rPr>
                            <w:b/>
                            <w:lang w:val="ro-RO"/>
                          </w:rPr>
                        </w:pPr>
                        <w:r w:rsidRPr="00954CEC">
                          <w:rPr>
                            <w:rFonts w:ascii="Arial" w:hAnsi="Arial"/>
                            <w:b/>
                            <w:sz w:val="18"/>
                            <w:lang w:val="ro-RO"/>
                          </w:rPr>
                          <w:t>Métabolisme des pigments biliaires dans l'ictère hémolytique</w:t>
                        </w:r>
                      </w:p>
                    </w:txbxContent>
                  </v:textbox>
                </v:shape>
                <v:line id="Line 58" o:spid="_x0000_s1036" style="position:absolute;flip:x;visibility:visible;mso-wrap-style:square" from="5628,3532" to="6104,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59" o:spid="_x0000_s1037" style="position:absolute;visibility:visible;mso-wrap-style:square" from="4319,4127" to="4319,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60" o:spid="_x0000_s1038" style="position:absolute;visibility:visible;mso-wrap-style:square" from="7413,5436" to="7413,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61" o:spid="_x0000_s1039" style="position:absolute;flip:x;visibility:visible;mso-wrap-style:square" from="5866,5198" to="6104,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62" o:spid="_x0000_s1040" style="position:absolute;visibility:visible;mso-wrap-style:square" from="5866,5198" to="5866,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63" o:spid="_x0000_s1041" style="position:absolute;flip:x;visibility:visible;mso-wrap-style:square" from="5628,6150" to="5866,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group>
            </w:pict>
          </mc:Fallback>
        </mc:AlternateContent>
      </w:r>
    </w:p>
    <w:p w14:paraId="75D38A57"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4F6F1C86"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4A61053"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1CD4394"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5AA64F51"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93DCC5D"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12D5E1E1"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2474344"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2EC48F6"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DB80D96"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48EE1606"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0CFB89F"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BEAA0CC"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327A7D3"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435E0AEA" w14:textId="629AB6D1" w:rsidR="004F743F" w:rsidRDefault="00CE7796"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r>
        <w:rPr>
          <w:noProof/>
          <w:sz w:val="20"/>
        </w:rPr>
        <mc:AlternateContent>
          <mc:Choice Requires="wps">
            <w:drawing>
              <wp:anchor distT="0" distB="0" distL="114300" distR="114300" simplePos="0" relativeHeight="251665408" behindDoc="0" locked="0" layoutInCell="1" allowOverlap="1" wp14:anchorId="319EBBDF" wp14:editId="5AE01BE3">
                <wp:simplePos x="0" y="0"/>
                <wp:positionH relativeFrom="column">
                  <wp:posOffset>2282825</wp:posOffset>
                </wp:positionH>
                <wp:positionV relativeFrom="paragraph">
                  <wp:posOffset>97790</wp:posOffset>
                </wp:positionV>
                <wp:extent cx="364490" cy="71120"/>
                <wp:effectExtent l="6350" t="2540" r="19685" b="31115"/>
                <wp:wrapNone/>
                <wp:docPr id="5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71120"/>
                        </a:xfrm>
                        <a:prstGeom prst="leftArrow">
                          <a:avLst>
                            <a:gd name="adj1" fmla="val 50000"/>
                            <a:gd name="adj2" fmla="val 128125"/>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7EE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06" o:spid="_x0000_s1026" type="#_x0000_t66" style="position:absolute;margin-left:179.75pt;margin-top:7.7pt;width:28.7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" fillcolor="black [3200]" stroked="f" strokecolor="#f2f2f2 [3041]" strokeweight="3pt">
                <v:shadow on="t" color="#7f7f7f [1601]" opacity=".5" offset="1pt"/>
              </v:shape>
            </w:pict>
          </mc:Fallback>
        </mc:AlternateContent>
      </w:r>
      <w:r w:rsidR="00F3791F">
        <w:rPr>
          <w:sz w:val="20"/>
        </w:rPr>
        <w:t xml:space="preserve">                                                            </w:t>
      </w:r>
    </w:p>
    <w:p w14:paraId="09D594DE"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1BCC4AA" w14:textId="77777777" w:rsidR="004F743F" w:rsidRDefault="004F743F" w:rsidP="00F3791F">
      <w:pPr>
        <w:autoSpaceDE w:val="0"/>
        <w:autoSpaceDN w:val="0"/>
        <w:adjustRightInd w:val="0"/>
        <w:spacing w:after="0" w:line="240" w:lineRule="auto"/>
        <w:ind w:firstLine="720"/>
        <w:jc w:val="center"/>
        <w:rPr>
          <w:rFonts w:ascii="Times New Roman" w:hAnsi="Times New Roman" w:cs="Times New Roman"/>
          <w:color w:val="C00000"/>
          <w:sz w:val="24"/>
          <w:szCs w:val="24"/>
        </w:rPr>
      </w:pPr>
    </w:p>
    <w:p w14:paraId="21D19A8E"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0123098A"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8319F57" w14:textId="77777777"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2BAACE3" w14:textId="77777777" w:rsidR="004F743F" w:rsidRPr="00233A84" w:rsidRDefault="004F743F" w:rsidP="00F3791F">
      <w:pPr>
        <w:pStyle w:val="Titlu1"/>
        <w:spacing w:line="276" w:lineRule="auto"/>
        <w:ind w:firstLine="720"/>
        <w:rPr>
          <w:lang w:val="en-US"/>
        </w:rPr>
      </w:pPr>
      <w:r w:rsidRPr="00233A84">
        <w:rPr>
          <w:lang w:val="en-US"/>
        </w:rPr>
        <w:t xml:space="preserve">Le mécanisme de présence d'urobiline dans </w:t>
      </w:r>
      <w:r>
        <w:rPr>
          <w:lang w:val="en-US"/>
        </w:rPr>
        <w:t xml:space="preserve">la fraction </w:t>
      </w:r>
      <w:r w:rsidRPr="00233A84">
        <w:rPr>
          <w:lang w:val="en-US"/>
        </w:rPr>
        <w:t xml:space="preserve">des urobilinoïdes peut s'expliquer  par le fait que les hépatocytes altérés, </w:t>
      </w:r>
      <w:r>
        <w:rPr>
          <w:lang w:val="en-US"/>
        </w:rPr>
        <w:t xml:space="preserve">surchargés </w:t>
      </w:r>
      <w:r w:rsidRPr="00233A84">
        <w:rPr>
          <w:lang w:val="en-US"/>
        </w:rPr>
        <w:t xml:space="preserve">par la conjugaison de la bilirubine libre, ne sont pas capables de transformer la totalité de l'urobilinogène (circuit hépato-entéral) en </w:t>
      </w:r>
      <w:r w:rsidR="00F3791F">
        <w:rPr>
          <w:lang w:val="en-US"/>
        </w:rPr>
        <w:t xml:space="preserve">bilirubine diglucuronylée, </w:t>
      </w:r>
      <w:r w:rsidRPr="00233A84">
        <w:rPr>
          <w:lang w:val="en-US"/>
        </w:rPr>
        <w:t xml:space="preserve">ce qui </w:t>
      </w:r>
      <w:r>
        <w:rPr>
          <w:lang w:val="en-US"/>
        </w:rPr>
        <w:t xml:space="preserve">explique </w:t>
      </w:r>
      <w:r w:rsidRPr="00233A84">
        <w:rPr>
          <w:lang w:val="en-US"/>
        </w:rPr>
        <w:t xml:space="preserve">la présence d'urobilinogène dans </w:t>
      </w:r>
      <w:r w:rsidR="00F3791F">
        <w:rPr>
          <w:lang w:val="en-US"/>
        </w:rPr>
        <w:t>la circulation</w:t>
      </w:r>
      <w:r w:rsidRPr="00233A84">
        <w:rPr>
          <w:lang w:val="en-US"/>
        </w:rPr>
        <w:t xml:space="preserve"> sanguine </w:t>
      </w:r>
      <w:r w:rsidR="00F3791F">
        <w:rPr>
          <w:lang w:val="en-US"/>
        </w:rPr>
        <w:t xml:space="preserve">(qui traverse le filtre rénal) et </w:t>
      </w:r>
      <w:r w:rsidRPr="00233A84">
        <w:rPr>
          <w:lang w:val="en-US"/>
        </w:rPr>
        <w:t>dans l'urine.</w:t>
      </w:r>
    </w:p>
    <w:p w14:paraId="2E87756E" w14:textId="77777777" w:rsidR="004F743F"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14:paraId="1DB0C532" w14:textId="77777777" w:rsidR="008D1A59" w:rsidRDefault="004F743F" w:rsidP="008D1A59">
      <w:pPr>
        <w:autoSpaceDE w:val="0"/>
        <w:autoSpaceDN w:val="0"/>
        <w:adjustRightInd w:val="0"/>
        <w:spacing w:after="0"/>
        <w:ind w:firstLine="720"/>
        <w:jc w:val="center"/>
        <w:rPr>
          <w:rFonts w:ascii="Times New Roman" w:hAnsi="Times New Roman" w:cs="Times New Roman"/>
          <w:sz w:val="24"/>
          <w:szCs w:val="24"/>
        </w:rPr>
      </w:pPr>
      <w:r w:rsidRPr="00147DDA">
        <w:rPr>
          <w:rFonts w:ascii="Times New Roman" w:hAnsi="Times New Roman" w:cs="Times New Roman"/>
          <w:b/>
          <w:sz w:val="20"/>
          <w:szCs w:val="20"/>
        </w:rPr>
        <w:t xml:space="preserve">JAUNISSEMENT HÉPATIQUE </w:t>
      </w:r>
      <w:r w:rsidRPr="00147DDA">
        <w:rPr>
          <w:rFonts w:ascii="Times New Roman" w:hAnsi="Times New Roman" w:cs="Times New Roman"/>
          <w:sz w:val="24"/>
          <w:szCs w:val="24"/>
        </w:rPr>
        <w:t>(</w:t>
      </w:r>
      <w:r w:rsidRPr="00381DA1">
        <w:rPr>
          <w:rFonts w:ascii="Times New Roman" w:hAnsi="Times New Roman" w:cs="Times New Roman"/>
          <w:i/>
          <w:sz w:val="24"/>
          <w:szCs w:val="24"/>
        </w:rPr>
        <w:t xml:space="preserve">jaunissement hépatocellulaire </w:t>
      </w:r>
      <w:r w:rsidR="00381DA1" w:rsidRPr="00381DA1">
        <w:rPr>
          <w:rFonts w:ascii="Times New Roman" w:hAnsi="Times New Roman" w:cs="Times New Roman"/>
          <w:i/>
          <w:sz w:val="24"/>
          <w:szCs w:val="24"/>
        </w:rPr>
        <w:t xml:space="preserve">ou </w:t>
      </w:r>
      <w:r w:rsidRPr="00381DA1">
        <w:rPr>
          <w:rFonts w:ascii="Times New Roman" w:hAnsi="Times New Roman" w:cs="Times New Roman"/>
          <w:i/>
          <w:sz w:val="24"/>
          <w:szCs w:val="24"/>
        </w:rPr>
        <w:t>parenchymateux</w:t>
      </w:r>
      <w:r w:rsidRPr="00147DDA">
        <w:rPr>
          <w:rFonts w:ascii="Times New Roman" w:hAnsi="Times New Roman" w:cs="Times New Roman"/>
          <w:sz w:val="24"/>
          <w:szCs w:val="24"/>
        </w:rPr>
        <w:t>)</w:t>
      </w:r>
    </w:p>
    <w:p w14:paraId="2189C68A" w14:textId="77777777" w:rsidR="004F743F" w:rsidRPr="008D1A59" w:rsidRDefault="008D1A59" w:rsidP="008D1A59">
      <w:pPr>
        <w:autoSpaceDE w:val="0"/>
        <w:autoSpaceDN w:val="0"/>
        <w:adjustRightInd w:val="0"/>
        <w:spacing w:after="0"/>
        <w:ind w:firstLine="720"/>
        <w:jc w:val="both"/>
        <w:rPr>
          <w:rFonts w:ascii="Times New Roman" w:hAnsi="Times New Roman" w:cs="Times New Roman"/>
          <w:sz w:val="24"/>
          <w:szCs w:val="24"/>
        </w:rPr>
      </w:pPr>
      <w:r w:rsidRPr="008D1A59">
        <w:rPr>
          <w:rFonts w:ascii="Times New Roman" w:hAnsi="Times New Roman" w:cs="Times New Roman"/>
          <w:sz w:val="24"/>
          <w:szCs w:val="24"/>
        </w:rPr>
        <w:t xml:space="preserve">L'ictère intrahépatique ou hépatocellulaire est causé par des troubles qui affectent directement la capacité du foie à éliminer la bilirubine du sang ou à la conjuguer afin qu'elle puisse être éliminée dans la bile. </w:t>
      </w:r>
      <w:r>
        <w:rPr>
          <w:rFonts w:ascii="Times New Roman" w:hAnsi="Times New Roman" w:cs="Times New Roman"/>
          <w:sz w:val="24"/>
          <w:szCs w:val="24"/>
        </w:rPr>
        <w:t xml:space="preserve">Il </w:t>
      </w:r>
      <w:r w:rsidR="004F743F" w:rsidRPr="008D1A59">
        <w:rPr>
          <w:rFonts w:ascii="Times New Roman" w:hAnsi="Times New Roman" w:cs="Times New Roman"/>
          <w:sz w:val="24"/>
          <w:szCs w:val="24"/>
        </w:rPr>
        <w:t xml:space="preserve">est </w:t>
      </w:r>
      <w:r w:rsidR="004F743F" w:rsidRPr="00147DDA">
        <w:rPr>
          <w:rFonts w:ascii="Times New Roman" w:hAnsi="Times New Roman" w:cs="Times New Roman"/>
          <w:sz w:val="24"/>
          <w:szCs w:val="24"/>
        </w:rPr>
        <w:t xml:space="preserve">causé par des altérations complexes du parenchyme hépatique, qui se manifestent par </w:t>
      </w:r>
      <w:r w:rsidR="00147DDA" w:rsidRPr="00147DDA">
        <w:rPr>
          <w:rFonts w:ascii="Times New Roman" w:hAnsi="Times New Roman" w:cs="Times New Roman"/>
          <w:sz w:val="24"/>
          <w:szCs w:val="24"/>
        </w:rPr>
        <w:t xml:space="preserve">des troubles de </w:t>
      </w:r>
      <w:r w:rsidR="004F743F" w:rsidRPr="00147DDA">
        <w:rPr>
          <w:rFonts w:ascii="Times New Roman" w:hAnsi="Times New Roman" w:cs="Times New Roman"/>
          <w:sz w:val="24"/>
          <w:szCs w:val="24"/>
        </w:rPr>
        <w:t xml:space="preserve">l'absorption, </w:t>
      </w:r>
      <w:r w:rsidR="00147DDA" w:rsidRPr="00147DDA">
        <w:rPr>
          <w:rFonts w:ascii="Times New Roman" w:hAnsi="Times New Roman" w:cs="Times New Roman"/>
          <w:sz w:val="24"/>
          <w:szCs w:val="24"/>
        </w:rPr>
        <w:t xml:space="preserve">du transport, du métabolisme et de l'excrétion des pigments biliaires. Elle </w:t>
      </w:r>
      <w:r w:rsidR="00147DDA">
        <w:rPr>
          <w:rFonts w:ascii="Times New Roman" w:hAnsi="Times New Roman" w:cs="Times New Roman"/>
          <w:sz w:val="24"/>
          <w:szCs w:val="24"/>
        </w:rPr>
        <w:t xml:space="preserve">survient </w:t>
      </w:r>
      <w:r w:rsidR="00147DDA" w:rsidRPr="00147DDA">
        <w:rPr>
          <w:rFonts w:ascii="Times New Roman" w:hAnsi="Times New Roman" w:cs="Times New Roman"/>
          <w:sz w:val="24"/>
          <w:szCs w:val="24"/>
        </w:rPr>
        <w:t xml:space="preserve">dans </w:t>
      </w:r>
      <w:r w:rsidR="00147DDA" w:rsidRPr="00147DDA">
        <w:rPr>
          <w:rFonts w:ascii="Times New Roman" w:hAnsi="Times New Roman" w:cs="Times New Roman"/>
          <w:bCs/>
          <w:sz w:val="24"/>
          <w:szCs w:val="24"/>
        </w:rPr>
        <w:t xml:space="preserve">le cadre de maladies et de troubles hépatiques tels que </w:t>
      </w:r>
      <w:r w:rsidR="00147DDA" w:rsidRPr="00147DDA">
        <w:rPr>
          <w:rFonts w:ascii="Times New Roman" w:hAnsi="Times New Roman" w:cs="Times New Roman"/>
          <w:sz w:val="24"/>
          <w:szCs w:val="24"/>
        </w:rPr>
        <w:t xml:space="preserve">l'hépatite virale, </w:t>
      </w:r>
      <w:r w:rsidR="00F07BDA">
        <w:rPr>
          <w:rFonts w:ascii="Times New Roman" w:hAnsi="Times New Roman" w:cs="Times New Roman"/>
          <w:sz w:val="24"/>
          <w:szCs w:val="24"/>
        </w:rPr>
        <w:t>l'abus d'alcool, les effets secondaires de médicaments (</w:t>
      </w:r>
      <w:r w:rsidR="00147DDA" w:rsidRPr="00147DDA">
        <w:rPr>
          <w:rFonts w:ascii="Times New Roman" w:hAnsi="Times New Roman" w:cs="Times New Roman"/>
          <w:sz w:val="24"/>
          <w:szCs w:val="24"/>
        </w:rPr>
        <w:t>isoniazide, phénytoïne, halothane), la congestion hépatique (insuffisance cardiaque droite), la septicémie (endotoxines) ou l'empoisonnement (champignon Amanita phalloides).</w:t>
      </w:r>
    </w:p>
    <w:p w14:paraId="3D925887" w14:textId="77777777" w:rsidR="004F743F" w:rsidRPr="00233A84" w:rsidRDefault="008D1A59" w:rsidP="00051B5F">
      <w:pPr>
        <w:pStyle w:val="Titlu1"/>
        <w:spacing w:line="276" w:lineRule="auto"/>
        <w:rPr>
          <w:lang w:val="en-US"/>
        </w:rPr>
      </w:pPr>
      <w:r w:rsidRPr="008D1A59">
        <w:rPr>
          <w:i/>
          <w:lang w:val="en-US"/>
        </w:rPr>
        <w:t xml:space="preserve">        </w:t>
      </w:r>
      <w:r w:rsidR="004F743F" w:rsidRPr="008D1A59">
        <w:rPr>
          <w:i/>
          <w:lang w:val="en-US"/>
        </w:rPr>
        <w:t xml:space="preserve">    Pathogénie </w:t>
      </w:r>
      <w:r w:rsidR="004F743F" w:rsidRPr="00233A84">
        <w:rPr>
          <w:lang w:val="en-US"/>
        </w:rPr>
        <w:t>: il convient de mentionner que la nature et les symptômes cliniques dépendent de l'endroit où agissent les facteurs étiologiques, du degré des lésions et de la masse des hépatocytes altérés.</w:t>
      </w:r>
    </w:p>
    <w:p w14:paraId="325AF5F5" w14:textId="490039E5" w:rsidR="004F743F" w:rsidRDefault="00CE7796" w:rsidP="004F743F">
      <w:pPr>
        <w:pStyle w:val="Titlu1"/>
        <w:rPr>
          <w:lang w:val="en-US"/>
        </w:rPr>
      </w:pPr>
      <w:r>
        <w:rPr>
          <w:noProof/>
          <w:color w:val="C00000"/>
          <w:szCs w:val="24"/>
        </w:rPr>
        <mc:AlternateContent>
          <mc:Choice Requires="wpg">
            <w:drawing>
              <wp:anchor distT="0" distB="0" distL="114300" distR="114300" simplePos="0" relativeHeight="251662336" behindDoc="0" locked="0" layoutInCell="0" allowOverlap="1" wp14:anchorId="319A32CE" wp14:editId="290F3F68">
                <wp:simplePos x="0" y="0"/>
                <wp:positionH relativeFrom="column">
                  <wp:posOffset>607695</wp:posOffset>
                </wp:positionH>
                <wp:positionV relativeFrom="paragraph">
                  <wp:posOffset>64135</wp:posOffset>
                </wp:positionV>
                <wp:extent cx="4913630" cy="4057015"/>
                <wp:effectExtent l="7620" t="6985" r="12700" b="12700"/>
                <wp:wrapNone/>
                <wp:docPr id="3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4057015"/>
                          <a:chOff x="3010" y="1168"/>
                          <a:chExt cx="5831" cy="6072"/>
                        </a:xfrm>
                      </wpg:grpSpPr>
                      <wps:wsp>
                        <wps:cNvPr id="35" name="Line 65"/>
                        <wps:cNvCnPr>
                          <a:cxnSpLocks noChangeShapeType="1"/>
                        </wps:cNvCnPr>
                        <wps:spPr bwMode="auto">
                          <a:xfrm>
                            <a:off x="7708" y="4381"/>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66"/>
                        <wps:cNvCnPr>
                          <a:cxnSpLocks noChangeShapeType="1"/>
                        </wps:cNvCnPr>
                        <wps:spPr bwMode="auto">
                          <a:xfrm>
                            <a:off x="4614" y="5214"/>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7"/>
                        <wps:cNvCnPr>
                          <a:cxnSpLocks noChangeShapeType="1"/>
                        </wps:cNvCnPr>
                        <wps:spPr bwMode="auto">
                          <a:xfrm>
                            <a:off x="4614" y="4381"/>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8"/>
                        <wps:cNvCnPr>
                          <a:cxnSpLocks noChangeShapeType="1"/>
                        </wps:cNvCnPr>
                        <wps:spPr bwMode="auto">
                          <a:xfrm>
                            <a:off x="4614" y="2596"/>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9"/>
                        <wps:cNvCnPr>
                          <a:cxnSpLocks noChangeShapeType="1"/>
                        </wps:cNvCnPr>
                        <wps:spPr bwMode="auto">
                          <a:xfrm flipV="1">
                            <a:off x="3494" y="2722"/>
                            <a:ext cx="1" cy="2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70"/>
                        <wps:cNvSpPr>
                          <a:spLocks noChangeArrowheads="1"/>
                        </wps:cNvSpPr>
                        <wps:spPr bwMode="auto">
                          <a:xfrm>
                            <a:off x="6161" y="1168"/>
                            <a:ext cx="2618" cy="1546"/>
                          </a:xfrm>
                          <a:prstGeom prst="rect">
                            <a:avLst/>
                          </a:prstGeom>
                          <a:solidFill>
                            <a:srgbClr val="FFFFFF"/>
                          </a:solidFill>
                          <a:ln w="12700">
                            <a:solidFill>
                              <a:srgbClr val="000000"/>
                            </a:solidFill>
                            <a:miter lim="800000"/>
                            <a:headEnd/>
                            <a:tailEnd/>
                          </a:ln>
                        </wps:spPr>
                        <wps:txbx>
                          <w:txbxContent>
                            <w:p w14:paraId="3793135E" w14:textId="77777777" w:rsidR="0076556E" w:rsidRPr="001F58B4" w:rsidRDefault="0076556E" w:rsidP="00DC75CD">
                              <w:pPr>
                                <w:pStyle w:val="Titlu2"/>
                                <w:jc w:val="center"/>
                                <w:rPr>
                                  <w:rFonts w:ascii="Arial" w:hAnsi="Arial"/>
                                  <w:sz w:val="16"/>
                                  <w:u w:val="single"/>
                                </w:rPr>
                              </w:pPr>
                              <w:r w:rsidRPr="001F58B4">
                                <w:rPr>
                                  <w:rFonts w:ascii="Arial" w:hAnsi="Arial"/>
                                  <w:sz w:val="16"/>
                                  <w:u w:val="single"/>
                                </w:rPr>
                                <w:t>DANS LE SYSTÈME MACROPHAGIQUE</w:t>
                              </w:r>
                            </w:p>
                            <w:p w14:paraId="205ACFA6" w14:textId="77777777" w:rsidR="0076556E" w:rsidRPr="00F07BDA" w:rsidRDefault="0076556E" w:rsidP="00F07BDA">
                              <w:pPr>
                                <w:pStyle w:val="Titlu2"/>
                                <w:jc w:val="center"/>
                                <w:rPr>
                                  <w:b w:val="0"/>
                                  <w:sz w:val="20"/>
                                </w:rPr>
                              </w:pPr>
                              <w:r w:rsidRPr="00F07BDA">
                                <w:rPr>
                                  <w:b w:val="0"/>
                                  <w:sz w:val="20"/>
                                </w:rPr>
                                <w:t>À partir de l'hémoglobine, une quantité normale de bilirubine libre est synthétisée.</w:t>
                              </w:r>
                            </w:p>
                          </w:txbxContent>
                        </wps:txbx>
                        <wps:bodyPr rot="0" vert="horz" wrap="square" lIns="91440" tIns="45720" rIns="91440" bIns="45720" anchor="t" anchorCtr="0" upright="1">
                          <a:noAutofit/>
                        </wps:bodyPr>
                      </wps:wsp>
                      <wps:wsp>
                        <wps:cNvPr id="41" name="Rectangle 71"/>
                        <wps:cNvSpPr>
                          <a:spLocks noChangeArrowheads="1"/>
                        </wps:cNvSpPr>
                        <wps:spPr bwMode="auto">
                          <a:xfrm>
                            <a:off x="3067" y="1168"/>
                            <a:ext cx="2687" cy="1565"/>
                          </a:xfrm>
                          <a:prstGeom prst="rect">
                            <a:avLst/>
                          </a:prstGeom>
                          <a:solidFill>
                            <a:srgbClr val="FFFFFF"/>
                          </a:solidFill>
                          <a:ln w="12700">
                            <a:solidFill>
                              <a:srgbClr val="000000"/>
                            </a:solidFill>
                            <a:miter lim="800000"/>
                            <a:headEnd/>
                            <a:tailEnd/>
                          </a:ln>
                        </wps:spPr>
                        <wps:txbx>
                          <w:txbxContent>
                            <w:p w14:paraId="6EAE993B" w14:textId="77777777" w:rsidR="0076556E" w:rsidRPr="00F07BDA" w:rsidRDefault="0076556E" w:rsidP="00F07BDA">
                              <w:pPr>
                                <w:pStyle w:val="Titlu2"/>
                                <w:jc w:val="center"/>
                                <w:rPr>
                                  <w:rFonts w:ascii="Arial" w:hAnsi="Arial"/>
                                  <w:sz w:val="16"/>
                                  <w:u w:val="single"/>
                                </w:rPr>
                              </w:pPr>
                              <w:r w:rsidRPr="001F58B4">
                                <w:rPr>
                                  <w:rFonts w:ascii="Arial" w:hAnsi="Arial"/>
                                  <w:sz w:val="16"/>
                                  <w:u w:val="single"/>
                                </w:rPr>
                                <w:t>DANS LA CIRCULATION SANGUINE</w:t>
                              </w:r>
                            </w:p>
                            <w:p w14:paraId="3B3962AC" w14:textId="77777777" w:rsidR="0076556E" w:rsidRPr="00F07BDA"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F07BDA">
                                <w:rPr>
                                  <w:b w:val="0"/>
                                  <w:sz w:val="20"/>
                                </w:rPr>
                                <w:t>il y a une augmentation de la quantité de bilirubine libre et de bilirubine conjuguée</w:t>
                              </w:r>
                            </w:p>
                          </w:txbxContent>
                        </wps:txbx>
                        <wps:bodyPr rot="0" vert="horz" wrap="square" lIns="91440" tIns="45720" rIns="91440" bIns="45720" anchor="t" anchorCtr="0" upright="1">
                          <a:noAutofit/>
                        </wps:bodyPr>
                      </wps:wsp>
                      <wps:wsp>
                        <wps:cNvPr id="42" name="Rectangle 72"/>
                        <wps:cNvSpPr>
                          <a:spLocks noChangeArrowheads="1"/>
                        </wps:cNvSpPr>
                        <wps:spPr bwMode="auto">
                          <a:xfrm>
                            <a:off x="6523" y="2826"/>
                            <a:ext cx="2256" cy="1674"/>
                          </a:xfrm>
                          <a:prstGeom prst="rect">
                            <a:avLst/>
                          </a:prstGeom>
                          <a:solidFill>
                            <a:srgbClr val="FFFFFF"/>
                          </a:solidFill>
                          <a:ln w="12700">
                            <a:solidFill>
                              <a:srgbClr val="000000"/>
                            </a:solidFill>
                            <a:miter lim="800000"/>
                            <a:headEnd/>
                            <a:tailEnd/>
                          </a:ln>
                        </wps:spPr>
                        <wps:txbx>
                          <w:txbxContent>
                            <w:p w14:paraId="2D2CEC24" w14:textId="77777777" w:rsidR="0076556E" w:rsidRPr="00FC45BD" w:rsidRDefault="0076556E" w:rsidP="00DC75CD">
                              <w:pPr>
                                <w:pStyle w:val="Corptext"/>
                                <w:jc w:val="center"/>
                                <w:rPr>
                                  <w:sz w:val="16"/>
                                  <w:u w:val="single"/>
                                </w:rPr>
                              </w:pPr>
                              <w:r w:rsidRPr="00FC45BD">
                                <w:rPr>
                                  <w:sz w:val="16"/>
                                  <w:u w:val="single"/>
                                </w:rPr>
                                <w:t>DANS L'INTESTIN GRÊLE</w:t>
                              </w:r>
                            </w:p>
                            <w:p w14:paraId="2F6BDB99" w14:textId="77777777" w:rsidR="0076556E" w:rsidRDefault="0076556E" w:rsidP="004F743F">
                              <w:pPr>
                                <w:pStyle w:val="Corptext"/>
                                <w:jc w:val="center"/>
                                <w:rPr>
                                  <w:rFonts w:ascii="Arial" w:hAnsi="Arial"/>
                                  <w:b w:val="0"/>
                                  <w:sz w:val="16"/>
                                </w:rPr>
                              </w:pPr>
                            </w:p>
                            <w:p w14:paraId="57D4511A" w14:textId="77777777" w:rsidR="0076556E" w:rsidRPr="00F07BDA" w:rsidRDefault="0076556E" w:rsidP="004F743F">
                              <w:pPr>
                                <w:pStyle w:val="Corptext"/>
                                <w:jc w:val="center"/>
                                <w:rPr>
                                  <w:b w:val="0"/>
                                </w:rPr>
                              </w:pPr>
                              <w:r w:rsidRPr="00F07BDA">
                                <w:rPr>
                                  <w:b w:val="0"/>
                                </w:rPr>
                                <w:t>La bilirubine conjuguée diminue modérément</w:t>
                              </w:r>
                            </w:p>
                            <w:p w14:paraId="07382818" w14:textId="77777777" w:rsidR="0076556E" w:rsidRPr="00F07BDA" w:rsidRDefault="0076556E" w:rsidP="004F743F">
                              <w:pPr>
                                <w:pStyle w:val="Corptext"/>
                                <w:jc w:val="center"/>
                                <w:rPr>
                                  <w:b w:val="0"/>
                                </w:rPr>
                              </w:pPr>
                            </w:p>
                            <w:p w14:paraId="1066C570" w14:textId="77777777" w:rsidR="0076556E" w:rsidRPr="00F07BDA" w:rsidRDefault="0076556E" w:rsidP="004F743F">
                              <w:pPr>
                                <w:pStyle w:val="Corptext"/>
                                <w:jc w:val="center"/>
                                <w:rPr>
                                  <w:b w:val="0"/>
                                  <w:lang w:val="ro-RO"/>
                                </w:rPr>
                              </w:pPr>
                              <w:r>
                                <w:rPr>
                                  <w:b w:val="0"/>
                                </w:rPr>
                                <w:t>La production</w:t>
                              </w:r>
                              <w:r w:rsidRPr="00F07BDA">
                                <w:rPr>
                                  <w:b w:val="0"/>
                                </w:rPr>
                                <w:t xml:space="preserve"> d'urobilinogène </w:t>
                              </w:r>
                              <w:r>
                                <w:rPr>
                                  <w:b w:val="0"/>
                                </w:rPr>
                                <w:t xml:space="preserve">est </w:t>
                              </w:r>
                              <w:r w:rsidRPr="00F07BDA">
                                <w:rPr>
                                  <w:b w:val="0"/>
                                </w:rPr>
                                <w:t xml:space="preserve">diminuée </w:t>
                              </w:r>
                            </w:p>
                          </w:txbxContent>
                        </wps:txbx>
                        <wps:bodyPr rot="0" vert="horz" wrap="square" lIns="91440" tIns="45720" rIns="91440" bIns="45720" anchor="t" anchorCtr="0" upright="1">
                          <a:noAutofit/>
                        </wps:bodyPr>
                      </wps:wsp>
                      <wps:wsp>
                        <wps:cNvPr id="43" name="Rectangle 73"/>
                        <wps:cNvSpPr>
                          <a:spLocks noChangeArrowheads="1"/>
                        </wps:cNvSpPr>
                        <wps:spPr bwMode="auto">
                          <a:xfrm>
                            <a:off x="3662" y="2862"/>
                            <a:ext cx="2023" cy="1638"/>
                          </a:xfrm>
                          <a:prstGeom prst="rect">
                            <a:avLst/>
                          </a:prstGeom>
                          <a:solidFill>
                            <a:srgbClr val="FFFFFF"/>
                          </a:solidFill>
                          <a:ln w="12700">
                            <a:solidFill>
                              <a:srgbClr val="000000"/>
                            </a:solidFill>
                            <a:miter lim="800000"/>
                            <a:headEnd/>
                            <a:tailEnd/>
                          </a:ln>
                        </wps:spPr>
                        <wps:txbx>
                          <w:txbxContent>
                            <w:p w14:paraId="105895AD" w14:textId="77777777" w:rsidR="0076556E" w:rsidRPr="001F58B4" w:rsidRDefault="0076556E" w:rsidP="004F743F">
                              <w:pPr>
                                <w:jc w:val="center"/>
                                <w:rPr>
                                  <w:rFonts w:ascii="Arial" w:hAnsi="Arial"/>
                                  <w:b/>
                                  <w:sz w:val="18"/>
                                  <w:u w:val="single"/>
                                </w:rPr>
                              </w:pPr>
                              <w:r w:rsidRPr="001F58B4">
                                <w:rPr>
                                  <w:rFonts w:ascii="Arial" w:hAnsi="Arial"/>
                                  <w:b/>
                                  <w:sz w:val="18"/>
                                  <w:u w:val="single"/>
                                  <w:lang w:val="ro-RO"/>
                                </w:rPr>
                                <w:t>DANS LE FOIE</w:t>
                              </w:r>
                            </w:p>
                            <w:p w14:paraId="3172B8A2" w14:textId="77777777" w:rsidR="0076556E" w:rsidRPr="00F07BDA" w:rsidRDefault="0076556E" w:rsidP="004F743F">
                              <w:pPr>
                                <w:pStyle w:val="Titlu3"/>
                                <w:pBdr>
                                  <w:top w:val="none" w:sz="0" w:space="0" w:color="auto"/>
                                  <w:left w:val="none" w:sz="0" w:space="0" w:color="auto"/>
                                  <w:bottom w:val="none" w:sz="0" w:space="0" w:color="auto"/>
                                  <w:right w:val="none" w:sz="0" w:space="0" w:color="auto"/>
                                </w:pBdr>
                                <w:spacing w:after="120"/>
                                <w:jc w:val="center"/>
                                <w:rPr>
                                  <w:sz w:val="20"/>
                                </w:rPr>
                              </w:pPr>
                              <w:r>
                                <w:rPr>
                                  <w:b w:val="0"/>
                                  <w:sz w:val="20"/>
                                  <w:lang w:val="en-US"/>
                                </w:rPr>
                                <w:t xml:space="preserve">Moins de </w:t>
                              </w:r>
                              <w:r w:rsidRPr="00F07BDA">
                                <w:rPr>
                                  <w:b w:val="0"/>
                                  <w:sz w:val="20"/>
                                  <w:lang w:val="en-US"/>
                                </w:rPr>
                                <w:t>bilirubine</w:t>
                              </w:r>
                              <w:r>
                                <w:rPr>
                                  <w:b w:val="0"/>
                                  <w:sz w:val="20"/>
                                  <w:lang w:val="en-US"/>
                                </w:rPr>
                                <w:t xml:space="preserve"> non conjuguée </w:t>
                              </w:r>
                              <w:r w:rsidRPr="00F07BDA">
                                <w:rPr>
                                  <w:b w:val="0"/>
                                  <w:sz w:val="20"/>
                                  <w:lang w:val="en-US"/>
                                </w:rPr>
                                <w:t>est capturée et transformée en bilirubine conjuguée</w:t>
                              </w:r>
                            </w:p>
                          </w:txbxContent>
                        </wps:txbx>
                        <wps:bodyPr rot="0" vert="horz" wrap="square" lIns="91440" tIns="45720" rIns="91440" bIns="45720" anchor="t" anchorCtr="0" upright="1">
                          <a:noAutofit/>
                        </wps:bodyPr>
                      </wps:wsp>
                      <wps:wsp>
                        <wps:cNvPr id="44" name="Line 74"/>
                        <wps:cNvCnPr>
                          <a:cxnSpLocks noChangeShapeType="1"/>
                        </wps:cNvCnPr>
                        <wps:spPr bwMode="auto">
                          <a:xfrm>
                            <a:off x="5638" y="41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75"/>
                        <wps:cNvSpPr>
                          <a:spLocks noChangeArrowheads="1"/>
                        </wps:cNvSpPr>
                        <wps:spPr bwMode="auto">
                          <a:xfrm>
                            <a:off x="6518" y="4738"/>
                            <a:ext cx="2261" cy="2034"/>
                          </a:xfrm>
                          <a:prstGeom prst="rect">
                            <a:avLst/>
                          </a:prstGeom>
                          <a:solidFill>
                            <a:srgbClr val="FFFFFF"/>
                          </a:solidFill>
                          <a:ln w="12700">
                            <a:solidFill>
                              <a:srgbClr val="000000"/>
                            </a:solidFill>
                            <a:miter lim="800000"/>
                            <a:headEnd/>
                            <a:tailEnd/>
                          </a:ln>
                        </wps:spPr>
                        <wps:txbx>
                          <w:txbxContent>
                            <w:p w14:paraId="45ADA2BA" w14:textId="77777777" w:rsidR="0076556E" w:rsidRPr="00FC45BD" w:rsidRDefault="0076556E" w:rsidP="00DC75CD">
                              <w:pPr>
                                <w:pStyle w:val="Titlu1"/>
                                <w:jc w:val="center"/>
                                <w:rPr>
                                  <w:rFonts w:ascii="Arial" w:hAnsi="Arial"/>
                                  <w:b/>
                                  <w:sz w:val="16"/>
                                  <w:szCs w:val="16"/>
                                  <w:u w:val="single"/>
                                </w:rPr>
                              </w:pPr>
                              <w:r w:rsidRPr="00FC45BD">
                                <w:rPr>
                                  <w:rFonts w:ascii="Arial" w:hAnsi="Arial"/>
                                  <w:b/>
                                  <w:sz w:val="16"/>
                                  <w:szCs w:val="16"/>
                                  <w:u w:val="single"/>
                                </w:rPr>
                                <w:t>DANS LE GROS INTESTIN</w:t>
                              </w:r>
                            </w:p>
                            <w:p w14:paraId="314882B4" w14:textId="77777777" w:rsidR="0076556E" w:rsidRPr="00F07BDA" w:rsidRDefault="0076556E" w:rsidP="00F07BDA">
                              <w:pPr>
                                <w:pStyle w:val="Titlu1"/>
                                <w:jc w:val="center"/>
                                <w:rPr>
                                  <w:sz w:val="20"/>
                                  <w:lang w:val="it-IT"/>
                                </w:rPr>
                              </w:pPr>
                              <w:r w:rsidRPr="00F07BDA">
                                <w:rPr>
                                  <w:sz w:val="20"/>
                                  <w:lang w:val="it-IT"/>
                                </w:rPr>
                                <w:t>Une petite quantité de stercobilinogène et de stercobiline est produite.</w:t>
                              </w:r>
                            </w:p>
                            <w:p w14:paraId="45CAF1A8" w14:textId="77777777" w:rsidR="0076556E" w:rsidRPr="00F07BDA" w:rsidRDefault="0076556E" w:rsidP="00F07BDA">
                              <w:pPr>
                                <w:pStyle w:val="Titlu1"/>
                                <w:jc w:val="center"/>
                                <w:rPr>
                                  <w:sz w:val="20"/>
                                </w:rPr>
                              </w:pPr>
                              <w:r w:rsidRPr="00F07BDA">
                                <w:rPr>
                                  <w:sz w:val="20"/>
                                  <w:lang w:val="it-IT"/>
                                </w:rPr>
                                <w:t>Les selles sont décolorées.</w:t>
                              </w:r>
                            </w:p>
                          </w:txbxContent>
                        </wps:txbx>
                        <wps:bodyPr rot="0" vert="horz" wrap="square" lIns="91440" tIns="45720" rIns="91440" bIns="45720" anchor="t" anchorCtr="0" upright="1">
                          <a:noAutofit/>
                        </wps:bodyPr>
                      </wps:wsp>
                      <wps:wsp>
                        <wps:cNvPr id="46" name="Text Box 76"/>
                        <wps:cNvSpPr txBox="1">
                          <a:spLocks noChangeArrowheads="1"/>
                        </wps:cNvSpPr>
                        <wps:spPr bwMode="auto">
                          <a:xfrm>
                            <a:off x="3390" y="4665"/>
                            <a:ext cx="2295" cy="614"/>
                          </a:xfrm>
                          <a:prstGeom prst="rect">
                            <a:avLst/>
                          </a:prstGeom>
                          <a:solidFill>
                            <a:srgbClr val="FFFFFF"/>
                          </a:solidFill>
                          <a:ln w="12700">
                            <a:solidFill>
                              <a:srgbClr val="000000"/>
                            </a:solidFill>
                            <a:miter lim="800000"/>
                            <a:headEnd/>
                            <a:tailEnd/>
                          </a:ln>
                        </wps:spPr>
                        <wps:txbx>
                          <w:txbxContent>
                            <w:p w14:paraId="0BD34770" w14:textId="77777777" w:rsidR="0076556E" w:rsidRDefault="0076556E" w:rsidP="004F743F">
                              <w:pPr>
                                <w:jc w:val="center"/>
                                <w:rPr>
                                  <w:rFonts w:ascii="Arial" w:hAnsi="Arial"/>
                                  <w:sz w:val="18"/>
                                  <w:lang w:val="ro-RO"/>
                                </w:rPr>
                              </w:pPr>
                              <w:r>
                                <w:rPr>
                                  <w:rFonts w:ascii="Arial" w:hAnsi="Arial"/>
                                  <w:sz w:val="18"/>
                                </w:rPr>
                                <w:t>Cholestase intrahépatique</w:t>
                              </w:r>
                            </w:p>
                          </w:txbxContent>
                        </wps:txbx>
                        <wps:bodyPr rot="0" vert="horz" wrap="square" lIns="91440" tIns="45720" rIns="91440" bIns="45720" anchor="t" anchorCtr="0" upright="1">
                          <a:noAutofit/>
                        </wps:bodyPr>
                      </wps:wsp>
                      <wps:wsp>
                        <wps:cNvPr id="47" name="Text Box 77"/>
                        <wps:cNvSpPr txBox="1">
                          <a:spLocks noChangeArrowheads="1"/>
                        </wps:cNvSpPr>
                        <wps:spPr bwMode="auto">
                          <a:xfrm>
                            <a:off x="3424" y="5452"/>
                            <a:ext cx="2261" cy="418"/>
                          </a:xfrm>
                          <a:prstGeom prst="rect">
                            <a:avLst/>
                          </a:prstGeom>
                          <a:solidFill>
                            <a:srgbClr val="FFFFFF"/>
                          </a:solidFill>
                          <a:ln w="12700">
                            <a:solidFill>
                              <a:srgbClr val="000000"/>
                            </a:solidFill>
                            <a:miter lim="800000"/>
                            <a:headEnd/>
                            <a:tailEnd/>
                          </a:ln>
                        </wps:spPr>
                        <wps:txbx>
                          <w:txbxContent>
                            <w:p w14:paraId="13174114" w14:textId="77777777" w:rsidR="0076556E" w:rsidRDefault="0076556E" w:rsidP="00F07BDA">
                              <w:pPr>
                                <w:jc w:val="center"/>
                                <w:rPr>
                                  <w:rFonts w:ascii="Arial" w:hAnsi="Arial"/>
                                  <w:sz w:val="18"/>
                                </w:rPr>
                              </w:pPr>
                              <w:r>
                                <w:rPr>
                                  <w:rFonts w:ascii="Arial" w:hAnsi="Arial"/>
                                  <w:sz w:val="18"/>
                                </w:rPr>
                                <w:t>Cholémie modérée</w:t>
                              </w:r>
                            </w:p>
                            <w:p w14:paraId="7E285B0D" w14:textId="77777777" w:rsidR="0076556E" w:rsidRDefault="0076556E" w:rsidP="004F743F">
                              <w:pPr>
                                <w:jc w:val="both"/>
                                <w:rPr>
                                  <w:rFonts w:ascii="Arial" w:hAnsi="Arial"/>
                                  <w:sz w:val="18"/>
                                </w:rPr>
                              </w:pPr>
                            </w:p>
                            <w:p w14:paraId="6D3A0A2A" w14:textId="77777777" w:rsidR="0076556E" w:rsidRDefault="0076556E" w:rsidP="004F743F">
                              <w:pPr>
                                <w:jc w:val="both"/>
                                <w:rPr>
                                  <w:rFonts w:ascii="Arial" w:hAnsi="Arial"/>
                                  <w:sz w:val="18"/>
                                </w:rPr>
                              </w:pPr>
                            </w:p>
                            <w:p w14:paraId="66A4E49E" w14:textId="77777777" w:rsidR="0076556E" w:rsidRDefault="0076556E" w:rsidP="004F743F">
                              <w:pPr>
                                <w:jc w:val="both"/>
                                <w:rPr>
                                  <w:rFonts w:ascii="Arial" w:hAnsi="Arial"/>
                                  <w:sz w:val="18"/>
                                </w:rPr>
                              </w:pPr>
                            </w:p>
                            <w:p w14:paraId="5EE368DF" w14:textId="77777777" w:rsidR="0076556E" w:rsidRDefault="0076556E" w:rsidP="004F743F">
                              <w:pPr>
                                <w:jc w:val="both"/>
                                <w:rPr>
                                  <w:rFonts w:ascii="Arial" w:hAnsi="Arial"/>
                                  <w:sz w:val="18"/>
                                </w:rPr>
                              </w:pPr>
                            </w:p>
                            <w:p w14:paraId="553B2D4B" w14:textId="77777777" w:rsidR="0076556E" w:rsidRDefault="0076556E" w:rsidP="004F743F">
                              <w:pPr>
                                <w:jc w:val="both"/>
                                <w:rPr>
                                  <w:rFonts w:ascii="Arial" w:hAnsi="Arial"/>
                                  <w:sz w:val="18"/>
                                </w:rPr>
                              </w:pPr>
                            </w:p>
                            <w:p w14:paraId="5A4580DE" w14:textId="77777777" w:rsidR="0076556E" w:rsidRDefault="0076556E" w:rsidP="004F743F">
                              <w:pPr>
                                <w:jc w:val="both"/>
                                <w:rPr>
                                  <w:rFonts w:ascii="Arial" w:hAnsi="Arial"/>
                                  <w:sz w:val="18"/>
                                </w:rPr>
                              </w:pPr>
                            </w:p>
                            <w:p w14:paraId="376DB0B2" w14:textId="77777777" w:rsidR="0076556E" w:rsidRDefault="0076556E" w:rsidP="004F743F">
                              <w:pPr>
                                <w:jc w:val="both"/>
                                <w:rPr>
                                  <w:rFonts w:ascii="Arial" w:hAnsi="Arial"/>
                                  <w:sz w:val="18"/>
                                </w:rPr>
                              </w:pPr>
                            </w:p>
                            <w:p w14:paraId="062073A9" w14:textId="77777777" w:rsidR="0076556E" w:rsidRDefault="0076556E" w:rsidP="004F743F">
                              <w:pPr>
                                <w:jc w:val="both"/>
                                <w:rPr>
                                  <w:rFonts w:ascii="Arial" w:hAnsi="Arial"/>
                                  <w:sz w:val="18"/>
                                </w:rPr>
                              </w:pPr>
                            </w:p>
                            <w:p w14:paraId="2601C974" w14:textId="77777777" w:rsidR="0076556E" w:rsidRDefault="0076556E" w:rsidP="004F743F">
                              <w:pPr>
                                <w:jc w:val="both"/>
                                <w:rPr>
                                  <w:rFonts w:ascii="Arial" w:hAnsi="Arial"/>
                                  <w:sz w:val="18"/>
                                </w:rPr>
                              </w:pPr>
                            </w:p>
                            <w:p w14:paraId="2D9A1D51" w14:textId="77777777" w:rsidR="0076556E" w:rsidRDefault="0076556E" w:rsidP="004F743F">
                              <w:pPr>
                                <w:jc w:val="both"/>
                                <w:rPr>
                                  <w:rFonts w:ascii="Arial" w:hAnsi="Arial"/>
                                  <w:sz w:val="18"/>
                                </w:rPr>
                              </w:pPr>
                            </w:p>
                            <w:p w14:paraId="0C636C6B" w14:textId="77777777" w:rsidR="0076556E" w:rsidRDefault="0076556E" w:rsidP="004F743F">
                              <w:pPr>
                                <w:jc w:val="both"/>
                                <w:rPr>
                                  <w:rFonts w:ascii="Arial" w:hAnsi="Arial"/>
                                  <w:sz w:val="18"/>
                                </w:rPr>
                              </w:pPr>
                            </w:p>
                            <w:p w14:paraId="5D42FCFE" w14:textId="77777777" w:rsidR="0076556E" w:rsidRDefault="0076556E" w:rsidP="004F743F">
                              <w:pPr>
                                <w:jc w:val="both"/>
                                <w:rPr>
                                  <w:rFonts w:ascii="Arial" w:hAnsi="Arial"/>
                                  <w:sz w:val="18"/>
                                </w:rPr>
                              </w:pPr>
                            </w:p>
                            <w:p w14:paraId="6DF077FC" w14:textId="77777777" w:rsidR="0076556E" w:rsidRDefault="0076556E" w:rsidP="004F743F">
                              <w:pPr>
                                <w:jc w:val="both"/>
                                <w:rPr>
                                  <w:rFonts w:ascii="Arial" w:hAnsi="Arial"/>
                                  <w:sz w:val="18"/>
                                  <w:lang w:val="ro-RO"/>
                                </w:rPr>
                              </w:pPr>
                              <w:r>
                                <w:rPr>
                                  <w:rFonts w:ascii="Arial" w:hAnsi="Arial"/>
                                  <w:sz w:val="18"/>
                                </w:rPr>
                                <w:t>Cholémie modérée</w:t>
                              </w:r>
                            </w:p>
                          </w:txbxContent>
                        </wps:txbx>
                        <wps:bodyPr rot="0" vert="horz" wrap="square" lIns="91440" tIns="45720" rIns="91440" bIns="45720" anchor="t" anchorCtr="0" upright="1">
                          <a:noAutofit/>
                        </wps:bodyPr>
                      </wps:wsp>
                      <wps:wsp>
                        <wps:cNvPr id="48" name="Text Box 78"/>
                        <wps:cNvSpPr txBox="1">
                          <a:spLocks noChangeArrowheads="1"/>
                        </wps:cNvSpPr>
                        <wps:spPr bwMode="auto">
                          <a:xfrm>
                            <a:off x="3067" y="6047"/>
                            <a:ext cx="2618" cy="714"/>
                          </a:xfrm>
                          <a:prstGeom prst="rect">
                            <a:avLst/>
                          </a:prstGeom>
                          <a:solidFill>
                            <a:srgbClr val="FFFFFF"/>
                          </a:solidFill>
                          <a:ln w="12700">
                            <a:solidFill>
                              <a:srgbClr val="000000"/>
                            </a:solidFill>
                            <a:miter lim="800000"/>
                            <a:headEnd/>
                            <a:tailEnd/>
                          </a:ln>
                        </wps:spPr>
                        <wps:txbx>
                          <w:txbxContent>
                            <w:p w14:paraId="245809FD" w14:textId="77777777" w:rsidR="0076556E" w:rsidRDefault="0076556E" w:rsidP="00F07BDA">
                              <w:pPr>
                                <w:jc w:val="center"/>
                                <w:rPr>
                                  <w:rFonts w:ascii="Times New Roman" w:hAnsi="Times New Roman" w:cs="Times New Roman"/>
                                  <w:b/>
                                  <w:sz w:val="16"/>
                                  <w:szCs w:val="16"/>
                                </w:rPr>
                              </w:pPr>
                              <w:r w:rsidRPr="00F07BDA">
                                <w:rPr>
                                  <w:rFonts w:ascii="Times New Roman" w:hAnsi="Times New Roman" w:cs="Times New Roman"/>
                                  <w:b/>
                                  <w:sz w:val="16"/>
                                  <w:szCs w:val="16"/>
                                </w:rPr>
                                <w:t xml:space="preserve">DANS L'URINE </w:t>
                              </w:r>
                            </w:p>
                            <w:p w14:paraId="6083E71B" w14:textId="77777777" w:rsidR="0076556E" w:rsidRDefault="0076556E" w:rsidP="00F07BDA">
                              <w:pPr>
                                <w:jc w:val="center"/>
                                <w:rPr>
                                  <w:rFonts w:ascii="Arial" w:hAnsi="Arial"/>
                                  <w:sz w:val="18"/>
                                </w:rPr>
                              </w:pPr>
                              <w:r>
                                <w:rPr>
                                  <w:rFonts w:ascii="Arial" w:hAnsi="Arial"/>
                                  <w:sz w:val="18"/>
                                </w:rPr>
                                <w:t xml:space="preserve">Bilirubinurie modérée </w:t>
                              </w:r>
                            </w:p>
                            <w:p w14:paraId="3F45D97D" w14:textId="77777777" w:rsidR="0076556E" w:rsidRDefault="0076556E" w:rsidP="00F07BDA">
                              <w:pPr>
                                <w:jc w:val="center"/>
                                <w:rPr>
                                  <w:rFonts w:ascii="Arial" w:hAnsi="Arial"/>
                                  <w:sz w:val="18"/>
                                </w:rPr>
                              </w:pPr>
                            </w:p>
                            <w:p w14:paraId="75B572B7" w14:textId="77777777" w:rsidR="0076556E" w:rsidRDefault="0076556E" w:rsidP="00F07BDA">
                              <w:pPr>
                                <w:jc w:val="center"/>
                                <w:rPr>
                                  <w:rFonts w:ascii="Arial" w:hAnsi="Arial"/>
                                  <w:sz w:val="18"/>
                                </w:rPr>
                              </w:pPr>
                            </w:p>
                            <w:p w14:paraId="4CFEBC4F" w14:textId="77777777" w:rsidR="0076556E" w:rsidRDefault="0076556E" w:rsidP="00F07BDA">
                              <w:pPr>
                                <w:jc w:val="center"/>
                                <w:rPr>
                                  <w:rFonts w:ascii="Arial" w:hAnsi="Arial"/>
                                  <w:sz w:val="18"/>
                                </w:rPr>
                              </w:pPr>
                            </w:p>
                            <w:p w14:paraId="638AF6D8" w14:textId="77777777" w:rsidR="0076556E" w:rsidRDefault="0076556E" w:rsidP="00F07BDA">
                              <w:pPr>
                                <w:jc w:val="center"/>
                                <w:rPr>
                                  <w:rFonts w:ascii="Arial" w:hAnsi="Arial"/>
                                  <w:sz w:val="18"/>
                                </w:rPr>
                              </w:pPr>
                            </w:p>
                            <w:p w14:paraId="652C95A2" w14:textId="77777777" w:rsidR="0076556E" w:rsidRDefault="0076556E" w:rsidP="00F07BDA">
                              <w:pPr>
                                <w:jc w:val="center"/>
                                <w:rPr>
                                  <w:rFonts w:ascii="Arial" w:hAnsi="Arial"/>
                                  <w:sz w:val="18"/>
                                </w:rPr>
                              </w:pPr>
                            </w:p>
                            <w:p w14:paraId="7A754788" w14:textId="77777777" w:rsidR="0076556E" w:rsidRDefault="0076556E" w:rsidP="00F07BDA">
                              <w:pPr>
                                <w:jc w:val="center"/>
                                <w:rPr>
                                  <w:rFonts w:ascii="Arial" w:hAnsi="Arial"/>
                                  <w:sz w:val="18"/>
                                </w:rPr>
                              </w:pPr>
                            </w:p>
                            <w:p w14:paraId="00462AE4" w14:textId="77777777" w:rsidR="0076556E" w:rsidRDefault="0076556E" w:rsidP="00F07BDA">
                              <w:pPr>
                                <w:jc w:val="center"/>
                                <w:rPr>
                                  <w:rFonts w:ascii="Arial" w:hAnsi="Arial"/>
                                  <w:sz w:val="18"/>
                                </w:rPr>
                              </w:pPr>
                            </w:p>
                            <w:p w14:paraId="1EE81152" w14:textId="77777777" w:rsidR="0076556E" w:rsidRDefault="0076556E" w:rsidP="00F07BDA">
                              <w:pPr>
                                <w:jc w:val="center"/>
                                <w:rPr>
                                  <w:rFonts w:ascii="Arial" w:hAnsi="Arial"/>
                                  <w:sz w:val="18"/>
                                </w:rPr>
                              </w:pPr>
                            </w:p>
                            <w:p w14:paraId="47ED3BE0" w14:textId="77777777" w:rsidR="0076556E" w:rsidRPr="00F07BDA" w:rsidRDefault="0076556E" w:rsidP="00F07BDA">
                              <w:pPr>
                                <w:jc w:val="center"/>
                                <w:rPr>
                                  <w:rFonts w:ascii="Times New Roman" w:hAnsi="Times New Roman" w:cs="Times New Roman"/>
                                  <w:b/>
                                  <w:sz w:val="16"/>
                                  <w:szCs w:val="16"/>
                                </w:rPr>
                              </w:pPr>
                            </w:p>
                            <w:p w14:paraId="731ED45E" w14:textId="77777777" w:rsidR="0076556E" w:rsidRDefault="0076556E" w:rsidP="004F743F">
                              <w:pPr>
                                <w:jc w:val="center"/>
                                <w:rPr>
                                  <w:rFonts w:ascii="Arial" w:hAnsi="Arial"/>
                                  <w:sz w:val="16"/>
                                  <w:lang w:val="ro-RO"/>
                                </w:rPr>
                              </w:pPr>
                              <w:r>
                                <w:rPr>
                                  <w:rFonts w:ascii="Arial" w:hAnsi="Arial"/>
                                  <w:sz w:val="18"/>
                                </w:rPr>
                                <w:t>Urobilinurie prononcée pronunţată</w:t>
                              </w:r>
                            </w:p>
                          </w:txbxContent>
                        </wps:txbx>
                        <wps:bodyPr rot="0" vert="horz" wrap="square" lIns="91440" tIns="45720" rIns="91440" bIns="45720" anchor="t" anchorCtr="0" upright="1">
                          <a:noAutofit/>
                        </wps:bodyPr>
                      </wps:wsp>
                      <wps:wsp>
                        <wps:cNvPr id="49" name="Text Box 79"/>
                        <wps:cNvSpPr txBox="1">
                          <a:spLocks noChangeArrowheads="1"/>
                        </wps:cNvSpPr>
                        <wps:spPr bwMode="auto">
                          <a:xfrm>
                            <a:off x="3010" y="6880"/>
                            <a:ext cx="5831" cy="360"/>
                          </a:xfrm>
                          <a:prstGeom prst="rect">
                            <a:avLst/>
                          </a:prstGeom>
                          <a:solidFill>
                            <a:srgbClr val="FFFFFF"/>
                          </a:solidFill>
                          <a:ln w="9525">
                            <a:solidFill>
                              <a:srgbClr val="000000"/>
                            </a:solidFill>
                            <a:miter lim="800000"/>
                            <a:headEnd/>
                            <a:tailEnd/>
                          </a:ln>
                        </wps:spPr>
                        <wps:txbx>
                          <w:txbxContent>
                            <w:p w14:paraId="48BD3996" w14:textId="77777777" w:rsidR="0076556E" w:rsidRPr="001F58B4" w:rsidRDefault="0076556E" w:rsidP="004F743F">
                              <w:pPr>
                                <w:jc w:val="center"/>
                                <w:rPr>
                                  <w:b/>
                                </w:rPr>
                              </w:pPr>
                              <w:r w:rsidRPr="001F58B4">
                                <w:rPr>
                                  <w:rFonts w:ascii="Arial" w:hAnsi="Arial"/>
                                  <w:b/>
                                  <w:sz w:val="18"/>
                                  <w:lang w:val="ro-RO"/>
                                </w:rPr>
                                <w:t>Métabolisme des pigments biliaires dans l'ictère hépatique</w:t>
                              </w:r>
                            </w:p>
                          </w:txbxContent>
                        </wps:txbx>
                        <wps:bodyPr rot="0" vert="horz" wrap="square" lIns="91440" tIns="45720" rIns="91440" bIns="45720" anchor="t" anchorCtr="0" upright="1">
                          <a:noAutofit/>
                        </wps:bodyPr>
                      </wps:wsp>
                      <wps:wsp>
                        <wps:cNvPr id="50" name="Line 80"/>
                        <wps:cNvCnPr>
                          <a:cxnSpLocks noChangeShapeType="1"/>
                        </wps:cNvCnPr>
                        <wps:spPr bwMode="auto">
                          <a:xfrm>
                            <a:off x="3186" y="2715"/>
                            <a:ext cx="0" cy="3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81"/>
                        <wps:cNvCnPr>
                          <a:cxnSpLocks noChangeShapeType="1"/>
                        </wps:cNvCnPr>
                        <wps:spPr bwMode="auto">
                          <a:xfrm flipH="1">
                            <a:off x="6161" y="4024"/>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2"/>
                        <wps:cNvCnPr>
                          <a:cxnSpLocks noChangeShapeType="1"/>
                        </wps:cNvCnPr>
                        <wps:spPr bwMode="auto">
                          <a:xfrm>
                            <a:off x="6161" y="4024"/>
                            <a:ext cx="0" cy="2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83"/>
                        <wps:cNvCnPr>
                          <a:cxnSpLocks noChangeShapeType="1"/>
                        </wps:cNvCnPr>
                        <wps:spPr bwMode="auto">
                          <a:xfrm flipH="1">
                            <a:off x="5685" y="640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84"/>
                        <wps:cNvCnPr>
                          <a:cxnSpLocks noChangeShapeType="1"/>
                        </wps:cNvCnPr>
                        <wps:spPr bwMode="auto">
                          <a:xfrm>
                            <a:off x="5685" y="3310"/>
                            <a:ext cx="8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A32CE" id="Group 64" o:spid="_x0000_s1042" style="position:absolute;left:0;text-align:left;margin-left:47.85pt;margin-top:5.05pt;width:386.9pt;height:319.45pt;z-index:251662336" coordorigin="3010,1168" coordsize="5831,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" o:allowincell="f">
                <v:line id="Line 65" o:spid="_x0000_s1043" style="position:absolute;visibility:visible;mso-wrap-style:square" from="7708,4381" to="7708,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66" o:spid="_x0000_s1044" style="position:absolute;visibility:visible;mso-wrap-style:square" from="4614,5214" to="4614,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67" o:spid="_x0000_s1045" style="position:absolute;visibility:visible;mso-wrap-style:square" from="4614,4381" to="4614,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68" o:spid="_x0000_s1046" style="position:absolute;visibility:visible;mso-wrap-style:square" from="4614,2596" to="4614,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69" o:spid="_x0000_s1047" style="position:absolute;flip:y;visibility:visible;mso-wrap-style:square" from="3494,2722" to="3495,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rect id="Rectangle 70" o:spid="_x0000_s1048" style="position:absolute;left:6161;top:1168;width:2618;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" strokeweight="1pt">
                  <v:textbox>
                    <w:txbxContent>
                      <w:p w14:paraId="3793135E" w14:textId="77777777" w:rsidR="0076556E" w:rsidRPr="001F58B4" w:rsidRDefault="0076556E" w:rsidP="00DC75CD">
                        <w:pPr>
                          <w:pStyle w:val="Titlu2"/>
                          <w:jc w:val="center"/>
                          <w:rPr>
                            <w:rFonts w:ascii="Arial" w:hAnsi="Arial"/>
                            <w:sz w:val="16"/>
                            <w:u w:val="single"/>
                          </w:rPr>
                        </w:pPr>
                        <w:r w:rsidRPr="001F58B4">
                          <w:rPr>
                            <w:rFonts w:ascii="Arial" w:hAnsi="Arial"/>
                            <w:sz w:val="16"/>
                            <w:u w:val="single"/>
                          </w:rPr>
                          <w:t>DANS LE SYSTÈME MACROPHAGIQUE</w:t>
                        </w:r>
                      </w:p>
                      <w:p w14:paraId="205ACFA6" w14:textId="77777777" w:rsidR="0076556E" w:rsidRPr="00F07BDA" w:rsidRDefault="0076556E" w:rsidP="00F07BDA">
                        <w:pPr>
                          <w:pStyle w:val="Titlu2"/>
                          <w:jc w:val="center"/>
                          <w:rPr>
                            <w:b w:val="0"/>
                            <w:sz w:val="20"/>
                          </w:rPr>
                        </w:pPr>
                        <w:r w:rsidRPr="00F07BDA">
                          <w:rPr>
                            <w:b w:val="0"/>
                            <w:sz w:val="20"/>
                          </w:rPr>
                          <w:t>À partir de l'hémoglobine, une quantité normale de bilirubine libre est synthétisée.</w:t>
                        </w:r>
                      </w:p>
                    </w:txbxContent>
                  </v:textbox>
                </v:rect>
                <v:rect id="Rectangle 71" o:spid="_x0000_s1049" style="position:absolute;left:3067;top:1168;width:2687;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" strokeweight="1pt">
                  <v:textbox>
                    <w:txbxContent>
                      <w:p w14:paraId="6EAE993B" w14:textId="77777777" w:rsidR="0076556E" w:rsidRPr="00F07BDA" w:rsidRDefault="0076556E" w:rsidP="00F07BDA">
                        <w:pPr>
                          <w:pStyle w:val="Titlu2"/>
                          <w:jc w:val="center"/>
                          <w:rPr>
                            <w:rFonts w:ascii="Arial" w:hAnsi="Arial"/>
                            <w:sz w:val="16"/>
                            <w:u w:val="single"/>
                          </w:rPr>
                        </w:pPr>
                        <w:r w:rsidRPr="001F58B4">
                          <w:rPr>
                            <w:rFonts w:ascii="Arial" w:hAnsi="Arial"/>
                            <w:sz w:val="16"/>
                            <w:u w:val="single"/>
                          </w:rPr>
                          <w:t>DANS LA CIRCULATION SANGUINE</w:t>
                        </w:r>
                      </w:p>
                      <w:p w14:paraId="3B3962AC" w14:textId="77777777" w:rsidR="0076556E" w:rsidRPr="00F07BDA"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F07BDA">
                          <w:rPr>
                            <w:b w:val="0"/>
                            <w:sz w:val="20"/>
                          </w:rPr>
                          <w:t>il y a une augmentation de la quantité de bilirubine libre et de bilirubine conjuguée</w:t>
                        </w:r>
                      </w:p>
                    </w:txbxContent>
                  </v:textbox>
                </v:rect>
                <v:rect id="Rectangle 72" o:spid="_x0000_s1050" style="position:absolute;left:6523;top:2826;width:2256;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textbox>
                    <w:txbxContent>
                      <w:p w14:paraId="2D2CEC24" w14:textId="77777777" w:rsidR="0076556E" w:rsidRPr="00FC45BD" w:rsidRDefault="0076556E" w:rsidP="00DC75CD">
                        <w:pPr>
                          <w:pStyle w:val="Corptext"/>
                          <w:jc w:val="center"/>
                          <w:rPr>
                            <w:sz w:val="16"/>
                            <w:u w:val="single"/>
                          </w:rPr>
                        </w:pPr>
                        <w:r w:rsidRPr="00FC45BD">
                          <w:rPr>
                            <w:sz w:val="16"/>
                            <w:u w:val="single"/>
                          </w:rPr>
                          <w:t>DANS L'INTESTIN GRÊLE</w:t>
                        </w:r>
                      </w:p>
                      <w:p w14:paraId="2F6BDB99" w14:textId="77777777" w:rsidR="0076556E" w:rsidRDefault="0076556E" w:rsidP="004F743F">
                        <w:pPr>
                          <w:pStyle w:val="Corptext"/>
                          <w:jc w:val="center"/>
                          <w:rPr>
                            <w:rFonts w:ascii="Arial" w:hAnsi="Arial"/>
                            <w:b w:val="0"/>
                            <w:sz w:val="16"/>
                          </w:rPr>
                        </w:pPr>
                      </w:p>
                      <w:p w14:paraId="57D4511A" w14:textId="77777777" w:rsidR="0076556E" w:rsidRPr="00F07BDA" w:rsidRDefault="0076556E" w:rsidP="004F743F">
                        <w:pPr>
                          <w:pStyle w:val="Corptext"/>
                          <w:jc w:val="center"/>
                          <w:rPr>
                            <w:b w:val="0"/>
                          </w:rPr>
                        </w:pPr>
                        <w:r w:rsidRPr="00F07BDA">
                          <w:rPr>
                            <w:b w:val="0"/>
                          </w:rPr>
                          <w:t>La bilirubine conjuguée diminue modérément</w:t>
                        </w:r>
                      </w:p>
                      <w:p w14:paraId="07382818" w14:textId="77777777" w:rsidR="0076556E" w:rsidRPr="00F07BDA" w:rsidRDefault="0076556E" w:rsidP="004F743F">
                        <w:pPr>
                          <w:pStyle w:val="Corptext"/>
                          <w:jc w:val="center"/>
                          <w:rPr>
                            <w:b w:val="0"/>
                          </w:rPr>
                        </w:pPr>
                      </w:p>
                      <w:p w14:paraId="1066C570" w14:textId="77777777" w:rsidR="0076556E" w:rsidRPr="00F07BDA" w:rsidRDefault="0076556E" w:rsidP="004F743F">
                        <w:pPr>
                          <w:pStyle w:val="Corptext"/>
                          <w:jc w:val="center"/>
                          <w:rPr>
                            <w:b w:val="0"/>
                            <w:lang w:val="ro-RO"/>
                          </w:rPr>
                        </w:pPr>
                        <w:r>
                          <w:rPr>
                            <w:b w:val="0"/>
                          </w:rPr>
                          <w:t>La production</w:t>
                        </w:r>
                        <w:r w:rsidRPr="00F07BDA">
                          <w:rPr>
                            <w:b w:val="0"/>
                          </w:rPr>
                          <w:t xml:space="preserve"> d'urobilinogène </w:t>
                        </w:r>
                        <w:r>
                          <w:rPr>
                            <w:b w:val="0"/>
                          </w:rPr>
                          <w:t xml:space="preserve">est </w:t>
                        </w:r>
                        <w:r w:rsidRPr="00F07BDA">
                          <w:rPr>
                            <w:b w:val="0"/>
                          </w:rPr>
                          <w:t xml:space="preserve">diminuée </w:t>
                        </w:r>
                      </w:p>
                    </w:txbxContent>
                  </v:textbox>
                </v:rect>
                <v:rect id="Rectangle 73" o:spid="_x0000_s1051" style="position:absolute;left:3662;top:2862;width:202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" strokeweight="1pt">
                  <v:textbox>
                    <w:txbxContent>
                      <w:p w14:paraId="105895AD" w14:textId="77777777" w:rsidR="0076556E" w:rsidRPr="001F58B4" w:rsidRDefault="0076556E" w:rsidP="004F743F">
                        <w:pPr>
                          <w:jc w:val="center"/>
                          <w:rPr>
                            <w:rFonts w:ascii="Arial" w:hAnsi="Arial"/>
                            <w:b/>
                            <w:sz w:val="18"/>
                            <w:u w:val="single"/>
                          </w:rPr>
                        </w:pPr>
                        <w:r w:rsidRPr="001F58B4">
                          <w:rPr>
                            <w:rFonts w:ascii="Arial" w:hAnsi="Arial"/>
                            <w:b/>
                            <w:sz w:val="18"/>
                            <w:u w:val="single"/>
                            <w:lang w:val="ro-RO"/>
                          </w:rPr>
                          <w:t>DANS LE FOIE</w:t>
                        </w:r>
                      </w:p>
                      <w:p w14:paraId="3172B8A2" w14:textId="77777777" w:rsidR="0076556E" w:rsidRPr="00F07BDA" w:rsidRDefault="0076556E" w:rsidP="004F743F">
                        <w:pPr>
                          <w:pStyle w:val="Titlu3"/>
                          <w:pBdr>
                            <w:top w:val="none" w:sz="0" w:space="0" w:color="auto"/>
                            <w:left w:val="none" w:sz="0" w:space="0" w:color="auto"/>
                            <w:bottom w:val="none" w:sz="0" w:space="0" w:color="auto"/>
                            <w:right w:val="none" w:sz="0" w:space="0" w:color="auto"/>
                          </w:pBdr>
                          <w:spacing w:after="120"/>
                          <w:jc w:val="center"/>
                          <w:rPr>
                            <w:sz w:val="20"/>
                          </w:rPr>
                        </w:pPr>
                        <w:r>
                          <w:rPr>
                            <w:b w:val="0"/>
                            <w:sz w:val="20"/>
                            <w:lang w:val="en-US"/>
                          </w:rPr>
                          <w:t xml:space="preserve">Moins de </w:t>
                        </w:r>
                        <w:r w:rsidRPr="00F07BDA">
                          <w:rPr>
                            <w:b w:val="0"/>
                            <w:sz w:val="20"/>
                            <w:lang w:val="en-US"/>
                          </w:rPr>
                          <w:t>bilirubine</w:t>
                        </w:r>
                        <w:r>
                          <w:rPr>
                            <w:b w:val="0"/>
                            <w:sz w:val="20"/>
                            <w:lang w:val="en-US"/>
                          </w:rPr>
                          <w:t xml:space="preserve"> non conjuguée </w:t>
                        </w:r>
                        <w:r w:rsidRPr="00F07BDA">
                          <w:rPr>
                            <w:b w:val="0"/>
                            <w:sz w:val="20"/>
                            <w:lang w:val="en-US"/>
                          </w:rPr>
                          <w:t>est capturée et transformée en bilirubine conjuguée</w:t>
                        </w:r>
                      </w:p>
                    </w:txbxContent>
                  </v:textbox>
                </v:rect>
                <v:line id="Line 74" o:spid="_x0000_s1052" style="position:absolute;visibility:visible;mso-wrap-style:square" from="5638,4188" to="5638,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rect id="Rectangle 75" o:spid="_x0000_s1053" style="position:absolute;left:6518;top:4738;width:2261;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" strokeweight="1pt">
                  <v:textbox>
                    <w:txbxContent>
                      <w:p w14:paraId="45ADA2BA" w14:textId="77777777" w:rsidR="0076556E" w:rsidRPr="00FC45BD" w:rsidRDefault="0076556E" w:rsidP="00DC75CD">
                        <w:pPr>
                          <w:pStyle w:val="Titlu1"/>
                          <w:jc w:val="center"/>
                          <w:rPr>
                            <w:rFonts w:ascii="Arial" w:hAnsi="Arial"/>
                            <w:b/>
                            <w:sz w:val="16"/>
                            <w:szCs w:val="16"/>
                            <w:u w:val="single"/>
                          </w:rPr>
                        </w:pPr>
                        <w:r w:rsidRPr="00FC45BD">
                          <w:rPr>
                            <w:rFonts w:ascii="Arial" w:hAnsi="Arial"/>
                            <w:b/>
                            <w:sz w:val="16"/>
                            <w:szCs w:val="16"/>
                            <w:u w:val="single"/>
                          </w:rPr>
                          <w:t>DANS LE GROS INTESTIN</w:t>
                        </w:r>
                      </w:p>
                      <w:p w14:paraId="314882B4" w14:textId="77777777" w:rsidR="0076556E" w:rsidRPr="00F07BDA" w:rsidRDefault="0076556E" w:rsidP="00F07BDA">
                        <w:pPr>
                          <w:pStyle w:val="Titlu1"/>
                          <w:jc w:val="center"/>
                          <w:rPr>
                            <w:sz w:val="20"/>
                            <w:lang w:val="it-IT"/>
                          </w:rPr>
                        </w:pPr>
                        <w:r w:rsidRPr="00F07BDA">
                          <w:rPr>
                            <w:sz w:val="20"/>
                            <w:lang w:val="it-IT"/>
                          </w:rPr>
                          <w:t>Une petite quantité de stercobilinogène et de stercobiline est produite.</w:t>
                        </w:r>
                      </w:p>
                      <w:p w14:paraId="45CAF1A8" w14:textId="77777777" w:rsidR="0076556E" w:rsidRPr="00F07BDA" w:rsidRDefault="0076556E" w:rsidP="00F07BDA">
                        <w:pPr>
                          <w:pStyle w:val="Titlu1"/>
                          <w:jc w:val="center"/>
                          <w:rPr>
                            <w:sz w:val="20"/>
                          </w:rPr>
                        </w:pPr>
                        <w:r w:rsidRPr="00F07BDA">
                          <w:rPr>
                            <w:sz w:val="20"/>
                            <w:lang w:val="it-IT"/>
                          </w:rPr>
                          <w:t>Les selles sont décolorées.</w:t>
                        </w:r>
                      </w:p>
                    </w:txbxContent>
                  </v:textbox>
                </v:rect>
                <v:shape id="Text Box 76" o:spid="_x0000_s1054" type="#_x0000_t202" style="position:absolute;left:3390;top:4665;width:2295;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" strokeweight="1pt">
                  <v:textbox>
                    <w:txbxContent>
                      <w:p w14:paraId="0BD34770" w14:textId="77777777" w:rsidR="0076556E" w:rsidRDefault="0076556E" w:rsidP="004F743F">
                        <w:pPr>
                          <w:jc w:val="center"/>
                          <w:rPr>
                            <w:rFonts w:ascii="Arial" w:hAnsi="Arial"/>
                            <w:sz w:val="18"/>
                            <w:lang w:val="ro-RO"/>
                          </w:rPr>
                        </w:pPr>
                        <w:r>
                          <w:rPr>
                            <w:rFonts w:ascii="Arial" w:hAnsi="Arial"/>
                            <w:sz w:val="18"/>
                          </w:rPr>
                          <w:t>Cholestase intrahépatique</w:t>
                        </w:r>
                      </w:p>
                    </w:txbxContent>
                  </v:textbox>
                </v:shape>
                <v:shape id="Text Box 77" o:spid="_x0000_s1055" type="#_x0000_t202" style="position:absolute;left:3424;top:5452;width:226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" strokeweight="1pt">
                  <v:textbox>
                    <w:txbxContent>
                      <w:p w14:paraId="13174114" w14:textId="77777777" w:rsidR="0076556E" w:rsidRDefault="0076556E" w:rsidP="00F07BDA">
                        <w:pPr>
                          <w:jc w:val="center"/>
                          <w:rPr>
                            <w:rFonts w:ascii="Arial" w:hAnsi="Arial"/>
                            <w:sz w:val="18"/>
                          </w:rPr>
                        </w:pPr>
                        <w:r>
                          <w:rPr>
                            <w:rFonts w:ascii="Arial" w:hAnsi="Arial"/>
                            <w:sz w:val="18"/>
                          </w:rPr>
                          <w:t>Cholémie modérée</w:t>
                        </w:r>
                      </w:p>
                      <w:p w14:paraId="7E285B0D" w14:textId="77777777" w:rsidR="0076556E" w:rsidRDefault="0076556E" w:rsidP="004F743F">
                        <w:pPr>
                          <w:jc w:val="both"/>
                          <w:rPr>
                            <w:rFonts w:ascii="Arial" w:hAnsi="Arial"/>
                            <w:sz w:val="18"/>
                          </w:rPr>
                        </w:pPr>
                      </w:p>
                      <w:p w14:paraId="6D3A0A2A" w14:textId="77777777" w:rsidR="0076556E" w:rsidRDefault="0076556E" w:rsidP="004F743F">
                        <w:pPr>
                          <w:jc w:val="both"/>
                          <w:rPr>
                            <w:rFonts w:ascii="Arial" w:hAnsi="Arial"/>
                            <w:sz w:val="18"/>
                          </w:rPr>
                        </w:pPr>
                      </w:p>
                      <w:p w14:paraId="66A4E49E" w14:textId="77777777" w:rsidR="0076556E" w:rsidRDefault="0076556E" w:rsidP="004F743F">
                        <w:pPr>
                          <w:jc w:val="both"/>
                          <w:rPr>
                            <w:rFonts w:ascii="Arial" w:hAnsi="Arial"/>
                            <w:sz w:val="18"/>
                          </w:rPr>
                        </w:pPr>
                      </w:p>
                      <w:p w14:paraId="5EE368DF" w14:textId="77777777" w:rsidR="0076556E" w:rsidRDefault="0076556E" w:rsidP="004F743F">
                        <w:pPr>
                          <w:jc w:val="both"/>
                          <w:rPr>
                            <w:rFonts w:ascii="Arial" w:hAnsi="Arial"/>
                            <w:sz w:val="18"/>
                          </w:rPr>
                        </w:pPr>
                      </w:p>
                      <w:p w14:paraId="553B2D4B" w14:textId="77777777" w:rsidR="0076556E" w:rsidRDefault="0076556E" w:rsidP="004F743F">
                        <w:pPr>
                          <w:jc w:val="both"/>
                          <w:rPr>
                            <w:rFonts w:ascii="Arial" w:hAnsi="Arial"/>
                            <w:sz w:val="18"/>
                          </w:rPr>
                        </w:pPr>
                      </w:p>
                      <w:p w14:paraId="5A4580DE" w14:textId="77777777" w:rsidR="0076556E" w:rsidRDefault="0076556E" w:rsidP="004F743F">
                        <w:pPr>
                          <w:jc w:val="both"/>
                          <w:rPr>
                            <w:rFonts w:ascii="Arial" w:hAnsi="Arial"/>
                            <w:sz w:val="18"/>
                          </w:rPr>
                        </w:pPr>
                      </w:p>
                      <w:p w14:paraId="376DB0B2" w14:textId="77777777" w:rsidR="0076556E" w:rsidRDefault="0076556E" w:rsidP="004F743F">
                        <w:pPr>
                          <w:jc w:val="both"/>
                          <w:rPr>
                            <w:rFonts w:ascii="Arial" w:hAnsi="Arial"/>
                            <w:sz w:val="18"/>
                          </w:rPr>
                        </w:pPr>
                      </w:p>
                      <w:p w14:paraId="062073A9" w14:textId="77777777" w:rsidR="0076556E" w:rsidRDefault="0076556E" w:rsidP="004F743F">
                        <w:pPr>
                          <w:jc w:val="both"/>
                          <w:rPr>
                            <w:rFonts w:ascii="Arial" w:hAnsi="Arial"/>
                            <w:sz w:val="18"/>
                          </w:rPr>
                        </w:pPr>
                      </w:p>
                      <w:p w14:paraId="2601C974" w14:textId="77777777" w:rsidR="0076556E" w:rsidRDefault="0076556E" w:rsidP="004F743F">
                        <w:pPr>
                          <w:jc w:val="both"/>
                          <w:rPr>
                            <w:rFonts w:ascii="Arial" w:hAnsi="Arial"/>
                            <w:sz w:val="18"/>
                          </w:rPr>
                        </w:pPr>
                      </w:p>
                      <w:p w14:paraId="2D9A1D51" w14:textId="77777777" w:rsidR="0076556E" w:rsidRDefault="0076556E" w:rsidP="004F743F">
                        <w:pPr>
                          <w:jc w:val="both"/>
                          <w:rPr>
                            <w:rFonts w:ascii="Arial" w:hAnsi="Arial"/>
                            <w:sz w:val="18"/>
                          </w:rPr>
                        </w:pPr>
                      </w:p>
                      <w:p w14:paraId="0C636C6B" w14:textId="77777777" w:rsidR="0076556E" w:rsidRDefault="0076556E" w:rsidP="004F743F">
                        <w:pPr>
                          <w:jc w:val="both"/>
                          <w:rPr>
                            <w:rFonts w:ascii="Arial" w:hAnsi="Arial"/>
                            <w:sz w:val="18"/>
                          </w:rPr>
                        </w:pPr>
                      </w:p>
                      <w:p w14:paraId="5D42FCFE" w14:textId="77777777" w:rsidR="0076556E" w:rsidRDefault="0076556E" w:rsidP="004F743F">
                        <w:pPr>
                          <w:jc w:val="both"/>
                          <w:rPr>
                            <w:rFonts w:ascii="Arial" w:hAnsi="Arial"/>
                            <w:sz w:val="18"/>
                          </w:rPr>
                        </w:pPr>
                      </w:p>
                      <w:p w14:paraId="6DF077FC" w14:textId="77777777" w:rsidR="0076556E" w:rsidRDefault="0076556E" w:rsidP="004F743F">
                        <w:pPr>
                          <w:jc w:val="both"/>
                          <w:rPr>
                            <w:rFonts w:ascii="Arial" w:hAnsi="Arial"/>
                            <w:sz w:val="18"/>
                            <w:lang w:val="ro-RO"/>
                          </w:rPr>
                        </w:pPr>
                        <w:r>
                          <w:rPr>
                            <w:rFonts w:ascii="Arial" w:hAnsi="Arial"/>
                            <w:sz w:val="18"/>
                          </w:rPr>
                          <w:t>Cholémie modérée</w:t>
                        </w:r>
                      </w:p>
                    </w:txbxContent>
                  </v:textbox>
                </v:shape>
                <v:shape id="Text Box 78" o:spid="_x0000_s1056" type="#_x0000_t202" style="position:absolute;left:3067;top:6047;width:261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" strokeweight="1pt">
                  <v:textbox>
                    <w:txbxContent>
                      <w:p w14:paraId="245809FD" w14:textId="77777777" w:rsidR="0076556E" w:rsidRDefault="0076556E" w:rsidP="00F07BDA">
                        <w:pPr>
                          <w:jc w:val="center"/>
                          <w:rPr>
                            <w:rFonts w:ascii="Times New Roman" w:hAnsi="Times New Roman" w:cs="Times New Roman"/>
                            <w:b/>
                            <w:sz w:val="16"/>
                            <w:szCs w:val="16"/>
                          </w:rPr>
                        </w:pPr>
                        <w:r w:rsidRPr="00F07BDA">
                          <w:rPr>
                            <w:rFonts w:ascii="Times New Roman" w:hAnsi="Times New Roman" w:cs="Times New Roman"/>
                            <w:b/>
                            <w:sz w:val="16"/>
                            <w:szCs w:val="16"/>
                          </w:rPr>
                          <w:t xml:space="preserve">DANS L'URINE </w:t>
                        </w:r>
                      </w:p>
                      <w:p w14:paraId="6083E71B" w14:textId="77777777" w:rsidR="0076556E" w:rsidRDefault="0076556E" w:rsidP="00F07BDA">
                        <w:pPr>
                          <w:jc w:val="center"/>
                          <w:rPr>
                            <w:rFonts w:ascii="Arial" w:hAnsi="Arial"/>
                            <w:sz w:val="18"/>
                          </w:rPr>
                        </w:pPr>
                        <w:r>
                          <w:rPr>
                            <w:rFonts w:ascii="Arial" w:hAnsi="Arial"/>
                            <w:sz w:val="18"/>
                          </w:rPr>
                          <w:t xml:space="preserve">Bilirubinurie modérée </w:t>
                        </w:r>
                      </w:p>
                      <w:p w14:paraId="3F45D97D" w14:textId="77777777" w:rsidR="0076556E" w:rsidRDefault="0076556E" w:rsidP="00F07BDA">
                        <w:pPr>
                          <w:jc w:val="center"/>
                          <w:rPr>
                            <w:rFonts w:ascii="Arial" w:hAnsi="Arial"/>
                            <w:sz w:val="18"/>
                          </w:rPr>
                        </w:pPr>
                      </w:p>
                      <w:p w14:paraId="75B572B7" w14:textId="77777777" w:rsidR="0076556E" w:rsidRDefault="0076556E" w:rsidP="00F07BDA">
                        <w:pPr>
                          <w:jc w:val="center"/>
                          <w:rPr>
                            <w:rFonts w:ascii="Arial" w:hAnsi="Arial"/>
                            <w:sz w:val="18"/>
                          </w:rPr>
                        </w:pPr>
                      </w:p>
                      <w:p w14:paraId="4CFEBC4F" w14:textId="77777777" w:rsidR="0076556E" w:rsidRDefault="0076556E" w:rsidP="00F07BDA">
                        <w:pPr>
                          <w:jc w:val="center"/>
                          <w:rPr>
                            <w:rFonts w:ascii="Arial" w:hAnsi="Arial"/>
                            <w:sz w:val="18"/>
                          </w:rPr>
                        </w:pPr>
                      </w:p>
                      <w:p w14:paraId="638AF6D8" w14:textId="77777777" w:rsidR="0076556E" w:rsidRDefault="0076556E" w:rsidP="00F07BDA">
                        <w:pPr>
                          <w:jc w:val="center"/>
                          <w:rPr>
                            <w:rFonts w:ascii="Arial" w:hAnsi="Arial"/>
                            <w:sz w:val="18"/>
                          </w:rPr>
                        </w:pPr>
                      </w:p>
                      <w:p w14:paraId="652C95A2" w14:textId="77777777" w:rsidR="0076556E" w:rsidRDefault="0076556E" w:rsidP="00F07BDA">
                        <w:pPr>
                          <w:jc w:val="center"/>
                          <w:rPr>
                            <w:rFonts w:ascii="Arial" w:hAnsi="Arial"/>
                            <w:sz w:val="18"/>
                          </w:rPr>
                        </w:pPr>
                      </w:p>
                      <w:p w14:paraId="7A754788" w14:textId="77777777" w:rsidR="0076556E" w:rsidRDefault="0076556E" w:rsidP="00F07BDA">
                        <w:pPr>
                          <w:jc w:val="center"/>
                          <w:rPr>
                            <w:rFonts w:ascii="Arial" w:hAnsi="Arial"/>
                            <w:sz w:val="18"/>
                          </w:rPr>
                        </w:pPr>
                      </w:p>
                      <w:p w14:paraId="00462AE4" w14:textId="77777777" w:rsidR="0076556E" w:rsidRDefault="0076556E" w:rsidP="00F07BDA">
                        <w:pPr>
                          <w:jc w:val="center"/>
                          <w:rPr>
                            <w:rFonts w:ascii="Arial" w:hAnsi="Arial"/>
                            <w:sz w:val="18"/>
                          </w:rPr>
                        </w:pPr>
                      </w:p>
                      <w:p w14:paraId="1EE81152" w14:textId="77777777" w:rsidR="0076556E" w:rsidRDefault="0076556E" w:rsidP="00F07BDA">
                        <w:pPr>
                          <w:jc w:val="center"/>
                          <w:rPr>
                            <w:rFonts w:ascii="Arial" w:hAnsi="Arial"/>
                            <w:sz w:val="18"/>
                          </w:rPr>
                        </w:pPr>
                      </w:p>
                      <w:p w14:paraId="47ED3BE0" w14:textId="77777777" w:rsidR="0076556E" w:rsidRPr="00F07BDA" w:rsidRDefault="0076556E" w:rsidP="00F07BDA">
                        <w:pPr>
                          <w:jc w:val="center"/>
                          <w:rPr>
                            <w:rFonts w:ascii="Times New Roman" w:hAnsi="Times New Roman" w:cs="Times New Roman"/>
                            <w:b/>
                            <w:sz w:val="16"/>
                            <w:szCs w:val="16"/>
                          </w:rPr>
                        </w:pPr>
                      </w:p>
                      <w:p w14:paraId="731ED45E" w14:textId="77777777" w:rsidR="0076556E" w:rsidRDefault="0076556E" w:rsidP="004F743F">
                        <w:pPr>
                          <w:jc w:val="center"/>
                          <w:rPr>
                            <w:rFonts w:ascii="Arial" w:hAnsi="Arial"/>
                            <w:sz w:val="16"/>
                            <w:lang w:val="ro-RO"/>
                          </w:rPr>
                        </w:pPr>
                        <w:r>
                          <w:rPr>
                            <w:rFonts w:ascii="Arial" w:hAnsi="Arial"/>
                            <w:sz w:val="18"/>
                          </w:rPr>
                          <w:t>Urobilinurie prononcée pronunţată</w:t>
                        </w:r>
                      </w:p>
                    </w:txbxContent>
                  </v:textbox>
                </v:shape>
                <v:shape id="Text Box 79" o:spid="_x0000_s1057" type="#_x0000_t202" style="position:absolute;left:3010;top:6880;width:58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8BD3996" w14:textId="77777777" w:rsidR="0076556E" w:rsidRPr="001F58B4" w:rsidRDefault="0076556E" w:rsidP="004F743F">
                        <w:pPr>
                          <w:jc w:val="center"/>
                          <w:rPr>
                            <w:b/>
                          </w:rPr>
                        </w:pPr>
                        <w:r w:rsidRPr="001F58B4">
                          <w:rPr>
                            <w:rFonts w:ascii="Arial" w:hAnsi="Arial"/>
                            <w:b/>
                            <w:sz w:val="18"/>
                            <w:lang w:val="ro-RO"/>
                          </w:rPr>
                          <w:t>Métabolisme des pigments biliaires dans l'ictère hépatique</w:t>
                        </w:r>
                      </w:p>
                    </w:txbxContent>
                  </v:textbox>
                </v:shape>
                <v:line id="Line 80" o:spid="_x0000_s1058" style="position:absolute;visibility:visible;mso-wrap-style:square" from="3186,2715" to="3186,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81" o:spid="_x0000_s1059" style="position:absolute;flip:x;visibility:visible;mso-wrap-style:square" from="6161,4024" to="6518,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82" o:spid="_x0000_s1060" style="position:absolute;visibility:visible;mso-wrap-style:square" from="6161,4024" to="6161,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83" o:spid="_x0000_s1061" style="position:absolute;flip:x;visibility:visible;mso-wrap-style:square" from="5685,6404" to="6161,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84" o:spid="_x0000_s1062" style="position:absolute;visibility:visible;mso-wrap-style:square" from="5685,3310" to="6518,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group>
            </w:pict>
          </mc:Fallback>
        </mc:AlternateContent>
      </w:r>
    </w:p>
    <w:p w14:paraId="669A7358" w14:textId="77777777" w:rsidR="00F07BDA" w:rsidRPr="00F07BDA" w:rsidRDefault="00F07BDA" w:rsidP="00F07BDA">
      <w:pPr>
        <w:rPr>
          <w:lang w:eastAsia="ru-RU"/>
        </w:rPr>
      </w:pPr>
    </w:p>
    <w:p w14:paraId="4E47F1C7" w14:textId="77777777" w:rsidR="004F743F"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14:paraId="39132DF8" w14:textId="6446E726" w:rsidR="004F743F" w:rsidRDefault="00CE7796" w:rsidP="00855866">
      <w:pPr>
        <w:autoSpaceDE w:val="0"/>
        <w:autoSpaceDN w:val="0"/>
        <w:adjustRightInd w:val="0"/>
        <w:spacing w:after="0" w:line="240" w:lineRule="auto"/>
        <w:jc w:val="both"/>
        <w:rPr>
          <w:rFonts w:ascii="Times New Roman" w:hAnsi="Times New Roman" w:cs="Times New Roman"/>
          <w:color w:val="C00000"/>
          <w:sz w:val="24"/>
          <w:szCs w:val="24"/>
        </w:rPr>
      </w:pPr>
      <w:r>
        <w:rPr>
          <w:rFonts w:ascii="Times New Roman" w:hAnsi="Times New Roman" w:cs="Times New Roman"/>
          <w:noProof/>
          <w:color w:val="C00000"/>
          <w:sz w:val="24"/>
          <w:szCs w:val="24"/>
        </w:rPr>
        <mc:AlternateContent>
          <mc:Choice Requires="wps">
            <w:drawing>
              <wp:anchor distT="0" distB="0" distL="114300" distR="114300" simplePos="0" relativeHeight="251666432" behindDoc="0" locked="0" layoutInCell="1" allowOverlap="1" wp14:anchorId="039BC5AF" wp14:editId="52BE2965">
                <wp:simplePos x="0" y="0"/>
                <wp:positionH relativeFrom="column">
                  <wp:posOffset>2919730</wp:posOffset>
                </wp:positionH>
                <wp:positionV relativeFrom="paragraph">
                  <wp:posOffset>163195</wp:posOffset>
                </wp:positionV>
                <wp:extent cx="302260" cy="71120"/>
                <wp:effectExtent l="5080" t="1270" r="16510" b="32385"/>
                <wp:wrapNone/>
                <wp:docPr id="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71120"/>
                        </a:xfrm>
                        <a:prstGeom prst="leftArrow">
                          <a:avLst>
                            <a:gd name="adj1" fmla="val 50000"/>
                            <a:gd name="adj2" fmla="val 106250"/>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5049" id="AutoShape 107" o:spid="_x0000_s1026" type="#_x0000_t66" style="position:absolute;margin-left:229.9pt;margin-top:12.85pt;width:23.8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" fillcolor="black [3200]" stroked="f" strokecolor="#f2f2f2 [3041]" strokeweight="3pt">
                <v:shadow on="t" color="#7f7f7f [1601]" opacity=".5" offset="1pt"/>
              </v:shape>
            </w:pict>
          </mc:Fallback>
        </mc:AlternateContent>
      </w:r>
    </w:p>
    <w:p w14:paraId="2FD7524B" w14:textId="77777777" w:rsidR="004F743F" w:rsidRPr="005D364D"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14:paraId="727CE0DC" w14:textId="77777777" w:rsidR="000D6D6E" w:rsidRPr="005D364D" w:rsidRDefault="000D6D6E" w:rsidP="00855866">
      <w:pPr>
        <w:autoSpaceDE w:val="0"/>
        <w:autoSpaceDN w:val="0"/>
        <w:adjustRightInd w:val="0"/>
        <w:spacing w:after="0" w:line="240" w:lineRule="auto"/>
        <w:jc w:val="both"/>
        <w:rPr>
          <w:rFonts w:ascii="Times New Roman" w:hAnsi="Times New Roman" w:cs="Times New Roman"/>
          <w:color w:val="C00000"/>
          <w:sz w:val="24"/>
          <w:szCs w:val="24"/>
        </w:rPr>
      </w:pPr>
    </w:p>
    <w:p w14:paraId="3BCB3B0D"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7EA5478C"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25B6C04B"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6EFBCF97"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4D57C599"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3B444E3B"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467A0A7F"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52F1748A"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1410BA23"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60C188AF"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7BA595B6"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1A6D55CA"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6F80E4CC"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3ED64BB6"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3E236AA5"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6FBF1A80"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1168832F" w14:textId="77777777"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14:paraId="717D5E17" w14:textId="77777777" w:rsidR="00F07BDA" w:rsidRDefault="004F743F" w:rsidP="004F743F">
      <w:pPr>
        <w:pStyle w:val="Titlu1"/>
        <w:rPr>
          <w:lang w:val="en-US"/>
        </w:rPr>
      </w:pPr>
      <w:r w:rsidRPr="00233A84">
        <w:rPr>
          <w:lang w:val="en-US"/>
        </w:rPr>
        <w:t xml:space="preserve">               </w:t>
      </w:r>
    </w:p>
    <w:p w14:paraId="718F8526" w14:textId="77777777" w:rsidR="00F07BDA" w:rsidRPr="00F07BDA" w:rsidRDefault="004F743F" w:rsidP="00F07BDA">
      <w:pPr>
        <w:pStyle w:val="Titlu1"/>
        <w:spacing w:line="276" w:lineRule="auto"/>
        <w:ind w:firstLine="720"/>
        <w:rPr>
          <w:lang w:val="en-US"/>
        </w:rPr>
      </w:pPr>
      <w:r w:rsidRPr="00233A84">
        <w:rPr>
          <w:lang w:val="en-US"/>
        </w:rPr>
        <w:t>En général, les lésions peuvent commencer par des modifications de la structure de la membrane cellulaire, des changements dans l'activité des enzymes microsomales et une dystrophie des hépatocytes (syndrome cytolytique).</w:t>
      </w:r>
      <w:r w:rsidR="00F07BDA">
        <w:rPr>
          <w:lang w:val="en-US"/>
        </w:rPr>
        <w:t xml:space="preserve"> </w:t>
      </w:r>
      <w:r w:rsidRPr="00233A84">
        <w:rPr>
          <w:szCs w:val="24"/>
        </w:rPr>
        <w:t xml:space="preserve">Dans la pathogenèse de l'ictère hépatique, on peut distinguer </w:t>
      </w:r>
      <w:r w:rsidR="00F07BDA">
        <w:rPr>
          <w:szCs w:val="24"/>
        </w:rPr>
        <w:t xml:space="preserve">deux </w:t>
      </w:r>
      <w:r w:rsidRPr="00233A84">
        <w:rPr>
          <w:szCs w:val="24"/>
        </w:rPr>
        <w:t>mécanismes principaux</w:t>
      </w:r>
      <w:r w:rsidR="00F07BDA">
        <w:rPr>
          <w:szCs w:val="24"/>
        </w:rPr>
        <w:t xml:space="preserve">. </w:t>
      </w:r>
      <w:r w:rsidRPr="00F07BDA">
        <w:rPr>
          <w:i/>
          <w:szCs w:val="24"/>
        </w:rPr>
        <w:t>Le mécanisme hépatocellulaire</w:t>
      </w:r>
      <w:r w:rsidRPr="00233A84">
        <w:rPr>
          <w:szCs w:val="24"/>
        </w:rPr>
        <w:t xml:space="preserve">, déterminé par certaines modifications structurelles accompagnées de troubles fonctionnels des hépatocytes, qui conduisent finalement à un syndrome cytolytique </w:t>
      </w:r>
      <w:r w:rsidR="00F07BDA">
        <w:rPr>
          <w:szCs w:val="24"/>
        </w:rPr>
        <w:t xml:space="preserve">pouvant entraîner une insuffisance hépatique, et </w:t>
      </w:r>
      <w:r w:rsidRPr="00F07BDA">
        <w:rPr>
          <w:i/>
          <w:szCs w:val="24"/>
        </w:rPr>
        <w:t>le mécanisme cholestatique</w:t>
      </w:r>
      <w:r w:rsidRPr="00233A84">
        <w:rPr>
          <w:szCs w:val="24"/>
        </w:rPr>
        <w:t xml:space="preserve">, qui se développe à la suite d'une cholestase intrahépatique au niveau des hépatocytes, associée à des troubles du métabolisme des pigments biliaires pouvant compliquer le syndrome cytolytique. </w:t>
      </w:r>
    </w:p>
    <w:p w14:paraId="29F3F91E" w14:textId="77777777" w:rsidR="007B076F" w:rsidRPr="00732DFC" w:rsidRDefault="00F07BDA" w:rsidP="00732DFC">
      <w:pPr>
        <w:tabs>
          <w:tab w:val="left" w:pos="4770"/>
          <w:tab w:val="left" w:pos="7830"/>
        </w:tabs>
        <w:ind w:firstLine="270"/>
        <w:jc w:val="both"/>
        <w:rPr>
          <w:rFonts w:ascii="Times New Roman" w:hAnsi="Times New Roman"/>
          <w:b/>
          <w:sz w:val="24"/>
          <w:szCs w:val="24"/>
        </w:rPr>
      </w:pPr>
      <w:r w:rsidRPr="00F07BDA">
        <w:rPr>
          <w:rFonts w:ascii="Times New Roman" w:hAnsi="Times New Roman"/>
          <w:i/>
          <w:sz w:val="24"/>
          <w:szCs w:val="24"/>
        </w:rPr>
        <w:t xml:space="preserve">  </w:t>
      </w:r>
      <w:r w:rsidR="003367D7">
        <w:rPr>
          <w:rFonts w:ascii="Times New Roman" w:hAnsi="Times New Roman"/>
          <w:i/>
          <w:sz w:val="24"/>
          <w:szCs w:val="24"/>
        </w:rPr>
        <w:t xml:space="preserve">       </w:t>
      </w:r>
      <w:r w:rsidR="004F743F" w:rsidRPr="00F07BDA">
        <w:rPr>
          <w:rFonts w:ascii="Times New Roman" w:hAnsi="Times New Roman"/>
          <w:i/>
          <w:sz w:val="24"/>
          <w:szCs w:val="24"/>
        </w:rPr>
        <w:t>Manifestations</w:t>
      </w:r>
      <w:r>
        <w:rPr>
          <w:rFonts w:ascii="Times New Roman" w:hAnsi="Times New Roman"/>
          <w:b/>
          <w:sz w:val="24"/>
          <w:szCs w:val="24"/>
        </w:rPr>
        <w:t xml:space="preserve">. </w:t>
      </w:r>
      <w:r w:rsidR="004F743F" w:rsidRPr="00233A84">
        <w:rPr>
          <w:rFonts w:ascii="Times New Roman" w:hAnsi="Times New Roman"/>
          <w:sz w:val="24"/>
          <w:szCs w:val="24"/>
        </w:rPr>
        <w:t xml:space="preserve">Il convient de mentionner que dans l'ictère hépatique, toute lésion des hépatocytes entraîne une régurgitation de la bile des voies biliaires intrahépatiques dans </w:t>
      </w:r>
      <w:r>
        <w:rPr>
          <w:rFonts w:ascii="Times New Roman" w:hAnsi="Times New Roman"/>
          <w:sz w:val="24"/>
          <w:szCs w:val="24"/>
        </w:rPr>
        <w:t xml:space="preserve">le </w:t>
      </w:r>
      <w:r w:rsidR="004F743F" w:rsidRPr="00233A84">
        <w:rPr>
          <w:rFonts w:ascii="Times New Roman" w:hAnsi="Times New Roman"/>
          <w:sz w:val="24"/>
          <w:szCs w:val="24"/>
        </w:rPr>
        <w:t xml:space="preserve">sang </w:t>
      </w:r>
      <w:r>
        <w:rPr>
          <w:rFonts w:ascii="Times New Roman" w:hAnsi="Times New Roman"/>
          <w:sz w:val="24"/>
          <w:szCs w:val="24"/>
        </w:rPr>
        <w:t xml:space="preserve">(cholémie) </w:t>
      </w:r>
      <w:r w:rsidR="004F743F" w:rsidRPr="00233A84">
        <w:rPr>
          <w:rFonts w:ascii="Times New Roman" w:hAnsi="Times New Roman"/>
          <w:sz w:val="24"/>
          <w:szCs w:val="24"/>
        </w:rPr>
        <w:t xml:space="preserve">et une augmentation de la concentration de bilirubine conjuguée, principalement celle de la bilirubine monoglycuronide </w:t>
      </w:r>
      <w:r w:rsidR="003367D7">
        <w:rPr>
          <w:rFonts w:ascii="Times New Roman" w:hAnsi="Times New Roman"/>
          <w:sz w:val="24"/>
          <w:szCs w:val="24"/>
        </w:rPr>
        <w:t xml:space="preserve">dans la circulation sanguine. </w:t>
      </w:r>
      <w:r w:rsidR="004F743F" w:rsidRPr="00233A84">
        <w:rPr>
          <w:rFonts w:ascii="Times New Roman" w:hAnsi="Times New Roman"/>
          <w:sz w:val="24"/>
          <w:szCs w:val="24"/>
        </w:rPr>
        <w:t xml:space="preserve"> Ainsi, la cholémie et l'hyperbilirubinémie</w:t>
      </w:r>
      <w:r w:rsidR="003367D7">
        <w:rPr>
          <w:rFonts w:ascii="Times New Roman" w:hAnsi="Times New Roman"/>
          <w:sz w:val="24"/>
          <w:szCs w:val="24"/>
        </w:rPr>
        <w:t xml:space="preserve"> conjuguée </w:t>
      </w:r>
      <w:r w:rsidR="004F743F" w:rsidRPr="00233A84">
        <w:rPr>
          <w:rFonts w:ascii="Times New Roman" w:hAnsi="Times New Roman"/>
          <w:sz w:val="24"/>
          <w:szCs w:val="24"/>
        </w:rPr>
        <w:t>dans l'ictère hépatique se développent principalement au niveau de la veine centrale du lobule hépatique. Parallèlement, on observe une augmentation de la concentration de bilirubine libre (hyperbilirubinémie non conjuguée</w:t>
      </w:r>
      <w:r w:rsidR="003367D7">
        <w:rPr>
          <w:rFonts w:ascii="Times New Roman" w:hAnsi="Times New Roman"/>
          <w:sz w:val="24"/>
          <w:szCs w:val="24"/>
        </w:rPr>
        <w:t xml:space="preserve">) </w:t>
      </w:r>
      <w:r w:rsidR="004F743F" w:rsidRPr="00233A84">
        <w:rPr>
          <w:rFonts w:ascii="Times New Roman" w:hAnsi="Times New Roman"/>
          <w:sz w:val="24"/>
          <w:szCs w:val="24"/>
        </w:rPr>
        <w:t xml:space="preserve">due à une diminution de l'activité de la glucuroniltransférase </w:t>
      </w:r>
      <w:r w:rsidR="003367D7">
        <w:rPr>
          <w:rFonts w:ascii="Times New Roman" w:hAnsi="Times New Roman"/>
          <w:sz w:val="24"/>
          <w:szCs w:val="24"/>
        </w:rPr>
        <w:t xml:space="preserve">dans les </w:t>
      </w:r>
      <w:r w:rsidR="004F743F" w:rsidRPr="00233A84">
        <w:rPr>
          <w:rFonts w:ascii="Times New Roman" w:hAnsi="Times New Roman"/>
          <w:sz w:val="24"/>
          <w:szCs w:val="24"/>
        </w:rPr>
        <w:t>hépatocytes lésés.</w:t>
      </w:r>
      <w:r w:rsidR="003367D7">
        <w:rPr>
          <w:rFonts w:ascii="Times New Roman" w:hAnsi="Times New Roman"/>
          <w:b/>
          <w:sz w:val="24"/>
          <w:szCs w:val="24"/>
        </w:rPr>
        <w:t xml:space="preserve"> </w:t>
      </w:r>
      <w:r w:rsidR="004F743F" w:rsidRPr="00233A84">
        <w:rPr>
          <w:rFonts w:ascii="Times New Roman" w:hAnsi="Times New Roman"/>
          <w:sz w:val="24"/>
          <w:szCs w:val="24"/>
        </w:rPr>
        <w:t xml:space="preserve">La cholémie déterminera l'évolution du syndrome cholémique, caractérisé par une augmentation de la concentration dans le sang de tous les composants biliaires : hypercholestérolémie, cholalémie (présence d'acides biliaires dans le sang) </w:t>
      </w:r>
      <w:r w:rsidR="003367D7">
        <w:rPr>
          <w:rFonts w:ascii="Times New Roman" w:hAnsi="Times New Roman"/>
          <w:sz w:val="24"/>
          <w:szCs w:val="24"/>
        </w:rPr>
        <w:t>(voir ci-dessus)</w:t>
      </w:r>
      <w:r w:rsidR="004F743F" w:rsidRPr="00233A84">
        <w:rPr>
          <w:rFonts w:ascii="Times New Roman" w:hAnsi="Times New Roman"/>
          <w:sz w:val="24"/>
          <w:szCs w:val="24"/>
        </w:rPr>
        <w:t>. Il convient de mentionner que dans l'ictère hépatique</w:t>
      </w:r>
      <w:r w:rsidR="004F743F">
        <w:rPr>
          <w:rFonts w:ascii="Times New Roman" w:hAnsi="Times New Roman"/>
          <w:sz w:val="24"/>
          <w:szCs w:val="24"/>
        </w:rPr>
        <w:t xml:space="preserve">, </w:t>
      </w:r>
      <w:r w:rsidR="004F743F" w:rsidRPr="00233A84">
        <w:rPr>
          <w:rFonts w:ascii="Times New Roman" w:hAnsi="Times New Roman"/>
          <w:sz w:val="24"/>
          <w:szCs w:val="24"/>
        </w:rPr>
        <w:t xml:space="preserve">le syndrome cholémique est modéré par rapport à l'ictère mécanique, où il est </w:t>
      </w:r>
      <w:r w:rsidR="004F743F">
        <w:rPr>
          <w:rFonts w:ascii="Times New Roman" w:hAnsi="Times New Roman"/>
          <w:sz w:val="24"/>
          <w:szCs w:val="24"/>
        </w:rPr>
        <w:t xml:space="preserve">très </w:t>
      </w:r>
      <w:r w:rsidR="004F743F" w:rsidRPr="00233A84">
        <w:rPr>
          <w:rFonts w:ascii="Times New Roman" w:hAnsi="Times New Roman"/>
          <w:sz w:val="24"/>
          <w:szCs w:val="24"/>
        </w:rPr>
        <w:t xml:space="preserve">prononcé. Le prurit dans l'ictère hépatique s'explique non seulement par l'action des acides biliaires régurgités dans le sang, mais aussi par l'augmentation de la concentration de certaines substances biologiques (histamine, </w:t>
      </w:r>
      <w:r w:rsidR="003367D7" w:rsidRPr="00233A84">
        <w:rPr>
          <w:rFonts w:ascii="Times New Roman" w:hAnsi="Times New Roman"/>
          <w:sz w:val="24"/>
          <w:szCs w:val="24"/>
        </w:rPr>
        <w:t>sérotonine</w:t>
      </w:r>
      <w:r w:rsidR="004F743F" w:rsidRPr="00233A84">
        <w:rPr>
          <w:rFonts w:ascii="Times New Roman" w:hAnsi="Times New Roman"/>
          <w:sz w:val="24"/>
          <w:szCs w:val="24"/>
        </w:rPr>
        <w:t xml:space="preserve">, </w:t>
      </w:r>
      <w:r w:rsidR="003367D7" w:rsidRPr="00233A84">
        <w:rPr>
          <w:rFonts w:ascii="Times New Roman" w:hAnsi="Times New Roman"/>
          <w:sz w:val="24"/>
          <w:szCs w:val="24"/>
        </w:rPr>
        <w:t>bradykinine</w:t>
      </w:r>
      <w:r w:rsidR="004F743F" w:rsidRPr="00233A84">
        <w:rPr>
          <w:rFonts w:ascii="Times New Roman" w:hAnsi="Times New Roman"/>
          <w:sz w:val="24"/>
          <w:szCs w:val="24"/>
        </w:rPr>
        <w:t xml:space="preserve">) qui sont insuffisamment métabolisées dans le foie et </w:t>
      </w:r>
      <w:r w:rsidR="003367D7">
        <w:rPr>
          <w:rFonts w:ascii="Times New Roman" w:hAnsi="Times New Roman"/>
          <w:sz w:val="24"/>
          <w:szCs w:val="24"/>
        </w:rPr>
        <w:t xml:space="preserve">sont </w:t>
      </w:r>
      <w:r w:rsidR="004F743F" w:rsidRPr="00233A84">
        <w:rPr>
          <w:rFonts w:ascii="Times New Roman" w:hAnsi="Times New Roman"/>
          <w:sz w:val="24"/>
          <w:szCs w:val="24"/>
        </w:rPr>
        <w:t>éliminées de manière in e dans le sang à partir des hépatocytes lésés.</w:t>
      </w:r>
      <w:r w:rsidR="003367D7">
        <w:rPr>
          <w:rFonts w:ascii="Times New Roman" w:hAnsi="Times New Roman"/>
          <w:sz w:val="24"/>
          <w:szCs w:val="24"/>
        </w:rPr>
        <w:t xml:space="preserve"> Le syndrome hémorragique dans l'ictère hépatique est dû à l'augmentation de la concentration </w:t>
      </w:r>
      <w:r w:rsidR="004F743F" w:rsidRPr="00233A84">
        <w:rPr>
          <w:rFonts w:ascii="Times New Roman" w:hAnsi="Times New Roman"/>
          <w:sz w:val="24"/>
          <w:szCs w:val="24"/>
        </w:rPr>
        <w:t xml:space="preserve">d'acides biliaires </w:t>
      </w:r>
      <w:r w:rsidR="003367D7">
        <w:rPr>
          <w:rFonts w:ascii="Times New Roman" w:hAnsi="Times New Roman"/>
          <w:sz w:val="24"/>
          <w:szCs w:val="24"/>
        </w:rPr>
        <w:t xml:space="preserve">dans le sang (cholalémie) qui </w:t>
      </w:r>
      <w:r w:rsidR="004F743F" w:rsidRPr="00233A84">
        <w:rPr>
          <w:rFonts w:ascii="Times New Roman" w:hAnsi="Times New Roman"/>
          <w:sz w:val="24"/>
          <w:szCs w:val="24"/>
        </w:rPr>
        <w:t xml:space="preserve">se lient </w:t>
      </w:r>
      <w:r w:rsidR="003367D7">
        <w:rPr>
          <w:rFonts w:ascii="Times New Roman" w:hAnsi="Times New Roman"/>
          <w:sz w:val="24"/>
          <w:szCs w:val="24"/>
        </w:rPr>
        <w:t xml:space="preserve">aux ions </w:t>
      </w:r>
      <w:r w:rsidR="004F743F" w:rsidRPr="00233A84">
        <w:rPr>
          <w:rFonts w:ascii="Times New Roman" w:hAnsi="Times New Roman"/>
          <w:sz w:val="24"/>
          <w:szCs w:val="24"/>
        </w:rPr>
        <w:t>Ca</w:t>
      </w:r>
      <w:r w:rsidR="004F743F" w:rsidRPr="003367D7">
        <w:rPr>
          <w:rFonts w:ascii="Times New Roman" w:hAnsi="Times New Roman"/>
          <w:sz w:val="24"/>
          <w:szCs w:val="24"/>
          <w:vertAlign w:val="superscript"/>
        </w:rPr>
        <w:t>+</w:t>
      </w:r>
      <w:r w:rsidR="004F743F" w:rsidRPr="00233A84">
        <w:rPr>
          <w:rFonts w:ascii="Times New Roman" w:hAnsi="Times New Roman"/>
          <w:sz w:val="24"/>
          <w:szCs w:val="24"/>
        </w:rPr>
        <w:t xml:space="preserve">, </w:t>
      </w:r>
      <w:r w:rsidR="003367D7">
        <w:rPr>
          <w:rFonts w:ascii="Times New Roman" w:hAnsi="Times New Roman"/>
          <w:sz w:val="24"/>
          <w:szCs w:val="24"/>
        </w:rPr>
        <w:t xml:space="preserve">ainsi qu'à </w:t>
      </w:r>
      <w:r w:rsidR="004F743F" w:rsidRPr="00233A84">
        <w:rPr>
          <w:rFonts w:ascii="Times New Roman" w:hAnsi="Times New Roman"/>
          <w:sz w:val="24"/>
          <w:szCs w:val="24"/>
        </w:rPr>
        <w:t xml:space="preserve">la diminution de la synthèse </w:t>
      </w:r>
      <w:r w:rsidR="003367D7">
        <w:rPr>
          <w:rFonts w:ascii="Times New Roman" w:hAnsi="Times New Roman"/>
          <w:sz w:val="24"/>
          <w:szCs w:val="24"/>
        </w:rPr>
        <w:t xml:space="preserve">des facteurs de coagulation dans le foie. </w:t>
      </w:r>
      <w:r w:rsidR="00732DFC">
        <w:rPr>
          <w:rFonts w:ascii="Times New Roman" w:hAnsi="Times New Roman"/>
          <w:b/>
          <w:sz w:val="24"/>
          <w:szCs w:val="24"/>
        </w:rPr>
        <w:t xml:space="preserve"> </w:t>
      </w:r>
      <w:r w:rsidR="004F743F" w:rsidRPr="00233A84">
        <w:rPr>
          <w:rFonts w:ascii="Times New Roman" w:hAnsi="Times New Roman"/>
          <w:sz w:val="24"/>
          <w:szCs w:val="24"/>
        </w:rPr>
        <w:t xml:space="preserve">Un signe spécifique </w:t>
      </w:r>
      <w:r w:rsidR="003367D7">
        <w:rPr>
          <w:rFonts w:ascii="Times New Roman" w:hAnsi="Times New Roman"/>
          <w:sz w:val="24"/>
          <w:szCs w:val="24"/>
        </w:rPr>
        <w:t xml:space="preserve">au </w:t>
      </w:r>
      <w:r w:rsidR="004F743F" w:rsidRPr="00233A84">
        <w:rPr>
          <w:rFonts w:ascii="Times New Roman" w:hAnsi="Times New Roman"/>
          <w:sz w:val="24"/>
          <w:szCs w:val="24"/>
        </w:rPr>
        <w:t xml:space="preserve">stade précoce de l'ictère hépatique, déterminé par une lésion des hépatocytes, est l'augmentation des taux de transaminases hépatiques dans le sang - alanine aminotransférase et aspartate aminotransférase éliminées des hépatocytes lésés </w:t>
      </w:r>
      <w:r w:rsidR="003367D7">
        <w:rPr>
          <w:rFonts w:ascii="Times New Roman" w:hAnsi="Times New Roman"/>
          <w:sz w:val="24"/>
          <w:szCs w:val="24"/>
        </w:rPr>
        <w:t xml:space="preserve">(syndrome cytolytique) </w:t>
      </w:r>
      <w:r w:rsidR="004F743F" w:rsidRPr="00233A84">
        <w:rPr>
          <w:rFonts w:ascii="Times New Roman" w:hAnsi="Times New Roman"/>
          <w:sz w:val="24"/>
          <w:szCs w:val="24"/>
        </w:rPr>
        <w:t>.</w:t>
      </w:r>
    </w:p>
    <w:p w14:paraId="0FA8C68C" w14:textId="77777777" w:rsidR="004F743F" w:rsidRPr="00233A84" w:rsidRDefault="007B076F" w:rsidP="007B076F">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004F743F" w:rsidRPr="00233A84">
        <w:rPr>
          <w:rFonts w:ascii="Times New Roman" w:hAnsi="Times New Roman"/>
          <w:sz w:val="24"/>
          <w:szCs w:val="24"/>
        </w:rPr>
        <w:t xml:space="preserve">    La couleur foncée de l'urine dans l'ictère hépatique s'explique par la bilirubinurie (la bilirubine conjuguée est perméable au filtre rénal) et l'augmentation de la concentration d'urobilinoïdes (stercobiline + urobiline) dans l'urine</w:t>
      </w:r>
      <w:r>
        <w:rPr>
          <w:rFonts w:ascii="Times New Roman" w:hAnsi="Times New Roman"/>
          <w:sz w:val="24"/>
          <w:szCs w:val="24"/>
        </w:rPr>
        <w:t xml:space="preserve">. </w:t>
      </w:r>
      <w:r w:rsidR="004F743F" w:rsidRPr="00233A84">
        <w:rPr>
          <w:rFonts w:ascii="Times New Roman" w:hAnsi="Times New Roman"/>
          <w:sz w:val="24"/>
          <w:szCs w:val="24"/>
        </w:rPr>
        <w:t xml:space="preserve">Une urobilinurie exagérée dans l'ictère hépatique </w:t>
      </w:r>
      <w:r w:rsidR="008D1A59">
        <w:rPr>
          <w:rFonts w:ascii="Times New Roman" w:hAnsi="Times New Roman"/>
          <w:sz w:val="24"/>
          <w:szCs w:val="24"/>
        </w:rPr>
        <w:t xml:space="preserve">se développe </w:t>
      </w:r>
      <w:r w:rsidR="004F743F" w:rsidRPr="00233A84">
        <w:rPr>
          <w:rFonts w:ascii="Times New Roman" w:hAnsi="Times New Roman"/>
          <w:sz w:val="24"/>
          <w:szCs w:val="24"/>
        </w:rPr>
        <w:t xml:space="preserve">en raison de l'incapacité </w:t>
      </w:r>
      <w:r>
        <w:rPr>
          <w:rFonts w:ascii="Times New Roman" w:hAnsi="Times New Roman"/>
          <w:sz w:val="24"/>
          <w:szCs w:val="24"/>
        </w:rPr>
        <w:t xml:space="preserve">du foie </w:t>
      </w:r>
      <w:r w:rsidR="004F743F" w:rsidRPr="00233A84">
        <w:rPr>
          <w:rFonts w:ascii="Times New Roman" w:hAnsi="Times New Roman"/>
          <w:sz w:val="24"/>
          <w:szCs w:val="24"/>
        </w:rPr>
        <w:t xml:space="preserve">à métaboliser l'urobilinogène </w:t>
      </w:r>
      <w:r>
        <w:rPr>
          <w:rFonts w:ascii="Times New Roman" w:hAnsi="Times New Roman"/>
          <w:sz w:val="24"/>
          <w:szCs w:val="24"/>
        </w:rPr>
        <w:t>provenant du circuit hépato-entéral</w:t>
      </w:r>
      <w:r w:rsidR="004F743F" w:rsidRPr="00233A84">
        <w:rPr>
          <w:rFonts w:ascii="Times New Roman" w:hAnsi="Times New Roman"/>
          <w:sz w:val="24"/>
          <w:szCs w:val="24"/>
        </w:rPr>
        <w:t>. Ce trouble peut être observé même au stade précoce d'une hépatite virale aiguë. La couleur foncée de l'urine dans les premières heures de la maladie est un syndrome spécifique qui est essentiel dans le diagnostic précoce de l'hépatite aiguë.</w:t>
      </w:r>
    </w:p>
    <w:p w14:paraId="58D5A9BF" w14:textId="77777777" w:rsidR="008D1A59" w:rsidRDefault="008D1A59" w:rsidP="008D1A59">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004F743F" w:rsidRPr="00233A84">
        <w:rPr>
          <w:rFonts w:ascii="Times New Roman" w:hAnsi="Times New Roman"/>
          <w:sz w:val="24"/>
          <w:szCs w:val="24"/>
        </w:rPr>
        <w:t xml:space="preserve">  Il convient de mentionner que dans l'ictère hépatique, la quantité de bile excrétée dans le duodénum est réduite ; </w:t>
      </w:r>
      <w:r>
        <w:rPr>
          <w:rFonts w:ascii="Times New Roman" w:hAnsi="Times New Roman"/>
          <w:sz w:val="24"/>
          <w:szCs w:val="24"/>
        </w:rPr>
        <w:t xml:space="preserve">une hypocholurie </w:t>
      </w:r>
      <w:r w:rsidR="004F743F" w:rsidRPr="00233A84">
        <w:rPr>
          <w:rFonts w:ascii="Times New Roman" w:hAnsi="Times New Roman"/>
          <w:sz w:val="24"/>
          <w:szCs w:val="24"/>
        </w:rPr>
        <w:t xml:space="preserve">se développe (diminution de la quantité de bile dans le duodénum), les troubles digestifs étant beaucoup moins prononcés que dans l'acholurie (absence de bile dans le duodénum). </w:t>
      </w:r>
      <w:r>
        <w:rPr>
          <w:rFonts w:ascii="Times New Roman" w:hAnsi="Times New Roman"/>
          <w:sz w:val="24"/>
          <w:szCs w:val="24"/>
        </w:rPr>
        <w:t>Les selles sont légèrement décolorées en raison de la réduction de la concentration en stercobiline.</w:t>
      </w:r>
    </w:p>
    <w:p w14:paraId="17DDE9C4" w14:textId="77777777" w:rsidR="004F743F" w:rsidRPr="00381DA1" w:rsidRDefault="008D1A59" w:rsidP="00381DA1">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004F743F" w:rsidRPr="00233A84">
        <w:rPr>
          <w:rFonts w:ascii="Times New Roman" w:hAnsi="Times New Roman"/>
          <w:sz w:val="24"/>
          <w:szCs w:val="24"/>
        </w:rPr>
        <w:t xml:space="preserve">Les modifications inflammatoires et dégénératives </w:t>
      </w:r>
      <w:r w:rsidR="00732DFC">
        <w:rPr>
          <w:rFonts w:ascii="Times New Roman" w:hAnsi="Times New Roman"/>
          <w:sz w:val="24"/>
          <w:szCs w:val="24"/>
        </w:rPr>
        <w:t xml:space="preserve">au niveau du foie </w:t>
      </w:r>
      <w:r w:rsidR="004F743F" w:rsidRPr="00233A84">
        <w:rPr>
          <w:rFonts w:ascii="Times New Roman" w:hAnsi="Times New Roman"/>
          <w:sz w:val="24"/>
          <w:szCs w:val="24"/>
        </w:rPr>
        <w:t xml:space="preserve">dans cette forme d'ictère sont les plus marquées et entraînent </w:t>
      </w:r>
      <w:r w:rsidR="00732DFC">
        <w:rPr>
          <w:rFonts w:ascii="Times New Roman" w:hAnsi="Times New Roman"/>
          <w:sz w:val="24"/>
          <w:szCs w:val="24"/>
        </w:rPr>
        <w:t>des troubles de toutes les fonctions hépatiques</w:t>
      </w:r>
      <w:r w:rsidR="004F743F" w:rsidRPr="00233A84">
        <w:rPr>
          <w:rFonts w:ascii="Times New Roman" w:hAnsi="Times New Roman"/>
          <w:sz w:val="24"/>
          <w:szCs w:val="24"/>
        </w:rPr>
        <w:t xml:space="preserve">, principalement des troubles du métabolisme intermédiaire des protéines, des lipides et des glucides </w:t>
      </w:r>
      <w:r w:rsidR="00732DFC">
        <w:rPr>
          <w:rFonts w:ascii="Times New Roman" w:hAnsi="Times New Roman"/>
          <w:sz w:val="24"/>
          <w:szCs w:val="24"/>
        </w:rPr>
        <w:t>(voir insuffisance hépatique)</w:t>
      </w:r>
      <w:r w:rsidR="004F743F" w:rsidRPr="00233A84">
        <w:rPr>
          <w:rFonts w:ascii="Times New Roman" w:hAnsi="Times New Roman"/>
          <w:sz w:val="24"/>
          <w:szCs w:val="24"/>
        </w:rPr>
        <w:t>.</w:t>
      </w:r>
    </w:p>
    <w:p w14:paraId="375DD4D4" w14:textId="77777777" w:rsidR="004F743F" w:rsidRDefault="004F743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5BA8D94" w14:textId="77777777" w:rsidR="00BC36AC" w:rsidRDefault="004F743F" w:rsidP="00BC36AC">
      <w:pPr>
        <w:autoSpaceDE w:val="0"/>
        <w:autoSpaceDN w:val="0"/>
        <w:adjustRightInd w:val="0"/>
        <w:spacing w:after="0"/>
        <w:ind w:firstLine="720"/>
        <w:jc w:val="both"/>
        <w:rPr>
          <w:rFonts w:ascii="Times New Roman" w:hAnsi="Times New Roman"/>
          <w:sz w:val="24"/>
          <w:szCs w:val="24"/>
        </w:rPr>
      </w:pPr>
      <w:r w:rsidRPr="004F743F">
        <w:rPr>
          <w:rFonts w:ascii="Times New Roman" w:hAnsi="Times New Roman"/>
          <w:sz w:val="20"/>
          <w:szCs w:val="20"/>
        </w:rPr>
        <w:t xml:space="preserve">                          </w:t>
      </w:r>
      <w:r w:rsidRPr="004F743F">
        <w:rPr>
          <w:rFonts w:ascii="Times New Roman" w:hAnsi="Times New Roman"/>
          <w:b/>
          <w:sz w:val="20"/>
          <w:szCs w:val="20"/>
        </w:rPr>
        <w:t xml:space="preserve">JAUNISSEMENT POST-HÉPATIQUE </w:t>
      </w:r>
      <w:r w:rsidRPr="00233A84">
        <w:rPr>
          <w:rFonts w:ascii="Times New Roman" w:hAnsi="Times New Roman"/>
          <w:b/>
          <w:sz w:val="24"/>
          <w:szCs w:val="24"/>
        </w:rPr>
        <w:t>(</w:t>
      </w:r>
      <w:r w:rsidRPr="00966016">
        <w:rPr>
          <w:rFonts w:ascii="Times New Roman" w:hAnsi="Times New Roman"/>
          <w:i/>
          <w:sz w:val="24"/>
          <w:szCs w:val="24"/>
        </w:rPr>
        <w:t xml:space="preserve">jaunissement mécanique </w:t>
      </w:r>
      <w:r w:rsidR="00966016" w:rsidRPr="00966016">
        <w:rPr>
          <w:rFonts w:ascii="Times New Roman" w:hAnsi="Times New Roman"/>
          <w:i/>
          <w:sz w:val="24"/>
          <w:szCs w:val="24"/>
        </w:rPr>
        <w:t>ou cholestatique</w:t>
      </w:r>
      <w:r w:rsidRPr="00233A84">
        <w:rPr>
          <w:rFonts w:ascii="Times New Roman" w:hAnsi="Times New Roman"/>
          <w:sz w:val="24"/>
          <w:szCs w:val="24"/>
        </w:rPr>
        <w:t>)</w:t>
      </w:r>
    </w:p>
    <w:p w14:paraId="00D621F7" w14:textId="77777777" w:rsidR="004F743F" w:rsidRPr="00233A84" w:rsidRDefault="00DC75CD" w:rsidP="00966016">
      <w:pPr>
        <w:autoSpaceDE w:val="0"/>
        <w:autoSpaceDN w:val="0"/>
        <w:adjustRightInd w:val="0"/>
        <w:spacing w:after="0"/>
        <w:ind w:firstLine="720"/>
        <w:jc w:val="both"/>
        <w:rPr>
          <w:rFonts w:ascii="Times New Roman" w:hAnsi="Times New Roman"/>
          <w:sz w:val="24"/>
          <w:szCs w:val="24"/>
        </w:rPr>
      </w:pPr>
      <w:r w:rsidRPr="00DC75CD">
        <w:rPr>
          <w:rFonts w:ascii="Times New Roman" w:hAnsi="Times New Roman" w:cs="Times New Roman"/>
          <w:sz w:val="24"/>
          <w:szCs w:val="24"/>
        </w:rPr>
        <w:t xml:space="preserve">L'ictère post-hépatique ou obstructif, également appelé </w:t>
      </w:r>
      <w:r w:rsidRPr="00DC75CD">
        <w:rPr>
          <w:rFonts w:ascii="Times New Roman" w:hAnsi="Times New Roman" w:cs="Times New Roman"/>
          <w:iCs/>
          <w:sz w:val="24"/>
          <w:szCs w:val="24"/>
        </w:rPr>
        <w:t>ictère cholestatique</w:t>
      </w:r>
      <w:r w:rsidRPr="00DC75CD">
        <w:rPr>
          <w:rFonts w:ascii="Times New Roman" w:hAnsi="Times New Roman" w:cs="Times New Roman"/>
          <w:i/>
          <w:iCs/>
          <w:sz w:val="24"/>
          <w:szCs w:val="24"/>
        </w:rPr>
        <w:t xml:space="preserve">, </w:t>
      </w:r>
      <w:r w:rsidRPr="00DC75CD">
        <w:rPr>
          <w:rFonts w:ascii="Times New Roman" w:hAnsi="Times New Roman" w:cs="Times New Roman"/>
          <w:sz w:val="24"/>
          <w:szCs w:val="24"/>
        </w:rPr>
        <w:t>survient lorsque le flux biliaire est obstrué entre le foie et l'intestin, l'obstruction se situant à n'importe quel endroit entre la jonction du canal hépatique droit ou gauche et le point où le canal biliaire débouche dans l'intestin</w:t>
      </w:r>
      <w:r w:rsidRPr="005D364D">
        <w:rPr>
          <w:rFonts w:ascii="Times New Roman" w:hAnsi="Times New Roman" w:cs="Times New Roman"/>
          <w:color w:val="C00000"/>
          <w:sz w:val="24"/>
          <w:szCs w:val="24"/>
        </w:rPr>
        <w:t>.</w:t>
      </w:r>
      <w:r w:rsidR="004F743F" w:rsidRPr="00233A84">
        <w:rPr>
          <w:rFonts w:ascii="Times New Roman" w:hAnsi="Times New Roman"/>
          <w:sz w:val="24"/>
          <w:szCs w:val="24"/>
        </w:rPr>
        <w:t xml:space="preserve"> </w:t>
      </w:r>
      <w:r w:rsidR="00BC36AC" w:rsidRPr="004B2CCE">
        <w:rPr>
          <w:rFonts w:ascii="Times New Roman" w:hAnsi="Times New Roman" w:cs="Times New Roman"/>
          <w:sz w:val="24"/>
          <w:szCs w:val="24"/>
        </w:rPr>
        <w:t xml:space="preserve">Dans </w:t>
      </w:r>
      <w:r w:rsidR="00BC36AC" w:rsidRPr="00DC75CD">
        <w:rPr>
          <w:rFonts w:ascii="Times New Roman" w:hAnsi="Times New Roman" w:cs="Times New Roman"/>
          <w:bCs/>
          <w:sz w:val="24"/>
          <w:szCs w:val="24"/>
        </w:rPr>
        <w:t>l'ictère post-hépatique</w:t>
      </w:r>
      <w:r w:rsidR="00BC36AC" w:rsidRPr="004B2CCE">
        <w:rPr>
          <w:rFonts w:ascii="Times New Roman" w:hAnsi="Times New Roman" w:cs="Times New Roman"/>
          <w:sz w:val="24"/>
          <w:szCs w:val="24"/>
        </w:rPr>
        <w:t xml:space="preserve">, les voies biliaires extrahépatiques sont obstruées, en </w:t>
      </w:r>
      <w:r w:rsidR="00966016">
        <w:rPr>
          <w:rFonts w:ascii="Times New Roman" w:hAnsi="Times New Roman" w:cs="Times New Roman"/>
          <w:sz w:val="24"/>
          <w:szCs w:val="24"/>
        </w:rPr>
        <w:t>particulier par des calculs biliaires, des tumeurs (</w:t>
      </w:r>
      <w:r w:rsidR="00BC36AC" w:rsidRPr="004B2CCE">
        <w:rPr>
          <w:rFonts w:ascii="Times New Roman" w:hAnsi="Times New Roman" w:cs="Times New Roman"/>
          <w:sz w:val="24"/>
          <w:szCs w:val="24"/>
        </w:rPr>
        <w:t xml:space="preserve">carcinome de la tête du pancréas), ou dans le cas d'une cholangite </w:t>
      </w:r>
      <w:r w:rsidR="00BC36AC">
        <w:rPr>
          <w:rFonts w:ascii="Times New Roman" w:hAnsi="Times New Roman"/>
          <w:sz w:val="24"/>
          <w:szCs w:val="24"/>
        </w:rPr>
        <w:t>(</w:t>
      </w:r>
      <w:r w:rsidR="00BC36AC" w:rsidRPr="00233A84">
        <w:rPr>
          <w:rFonts w:ascii="Times New Roman" w:hAnsi="Times New Roman"/>
          <w:sz w:val="24"/>
          <w:szCs w:val="24"/>
        </w:rPr>
        <w:t>processus inflammatoire des voies biliaires</w:t>
      </w:r>
      <w:r w:rsidR="00BC36AC">
        <w:rPr>
          <w:rFonts w:ascii="Times New Roman" w:hAnsi="Times New Roman"/>
          <w:sz w:val="24"/>
          <w:szCs w:val="24"/>
        </w:rPr>
        <w:t xml:space="preserve">) </w:t>
      </w:r>
      <w:r w:rsidR="00BC36AC">
        <w:rPr>
          <w:rFonts w:ascii="Times New Roman" w:hAnsi="Times New Roman" w:cs="Times New Roman"/>
          <w:sz w:val="24"/>
          <w:szCs w:val="24"/>
        </w:rPr>
        <w:t>ou d'une pancréatite</w:t>
      </w:r>
      <w:r w:rsidR="00BC36AC" w:rsidRPr="004B2CCE">
        <w:rPr>
          <w:rFonts w:ascii="Times New Roman" w:hAnsi="Times New Roman" w:cs="Times New Roman"/>
          <w:sz w:val="24"/>
          <w:szCs w:val="24"/>
        </w:rPr>
        <w:t xml:space="preserve">. </w:t>
      </w:r>
      <w:r w:rsidR="00BC36AC">
        <w:rPr>
          <w:rFonts w:ascii="Times New Roman" w:hAnsi="Times New Roman" w:cs="Times New Roman"/>
          <w:sz w:val="24"/>
          <w:szCs w:val="24"/>
        </w:rPr>
        <w:t xml:space="preserve">Il </w:t>
      </w:r>
      <w:r w:rsidR="004F743F" w:rsidRPr="00233A84">
        <w:rPr>
          <w:rFonts w:ascii="Times New Roman" w:hAnsi="Times New Roman"/>
          <w:sz w:val="24"/>
          <w:szCs w:val="24"/>
        </w:rPr>
        <w:t xml:space="preserve">se caractérise par une augmentation du taux de bilirubine conjuguée dans le sang résultant de l'obstruction ou de la compression des voies biliaires et du développement d'une cholestase et d'une cholémie </w:t>
      </w:r>
      <w:r w:rsidR="00966016">
        <w:rPr>
          <w:rFonts w:ascii="Times New Roman" w:hAnsi="Times New Roman"/>
          <w:sz w:val="24"/>
          <w:szCs w:val="24"/>
        </w:rPr>
        <w:t>sévères</w:t>
      </w:r>
      <w:r w:rsidR="004F743F" w:rsidRPr="00233A84">
        <w:rPr>
          <w:rFonts w:ascii="Times New Roman" w:hAnsi="Times New Roman"/>
          <w:sz w:val="24"/>
          <w:szCs w:val="24"/>
        </w:rPr>
        <w:t>.</w:t>
      </w:r>
      <w:r w:rsidR="00966016">
        <w:rPr>
          <w:rFonts w:ascii="Times New Roman" w:hAnsi="Times New Roman"/>
          <w:sz w:val="24"/>
          <w:szCs w:val="24"/>
        </w:rPr>
        <w:t xml:space="preserve"> </w:t>
      </w:r>
      <w:r w:rsidR="004F743F" w:rsidRPr="00233A84">
        <w:rPr>
          <w:rFonts w:ascii="Times New Roman" w:hAnsi="Times New Roman"/>
          <w:sz w:val="24"/>
          <w:szCs w:val="24"/>
        </w:rPr>
        <w:t xml:space="preserve">Dans ces </w:t>
      </w:r>
      <w:r w:rsidR="004F743F">
        <w:rPr>
          <w:rFonts w:ascii="Times New Roman" w:hAnsi="Times New Roman"/>
          <w:sz w:val="24"/>
          <w:szCs w:val="24"/>
        </w:rPr>
        <w:t>conditions</w:t>
      </w:r>
      <w:r w:rsidR="004F743F" w:rsidRPr="00233A84">
        <w:rPr>
          <w:rFonts w:ascii="Times New Roman" w:hAnsi="Times New Roman"/>
          <w:sz w:val="24"/>
          <w:szCs w:val="24"/>
        </w:rPr>
        <w:t xml:space="preserve">, le passage de la bile dans l'intestin est bloqué, et l'absence de bile dans le duodénum (acholurie), principalement l'absence de sels biliaires, perturbe l'activité de la lipase pancréatique, l'émulsification et l'absorption des lipides et entraîne le développement d'un syndrome de malabsorption avec </w:t>
      </w:r>
      <w:r w:rsidR="00966016" w:rsidRPr="00233A84">
        <w:rPr>
          <w:rFonts w:ascii="Times New Roman" w:hAnsi="Times New Roman"/>
          <w:sz w:val="24"/>
          <w:szCs w:val="24"/>
        </w:rPr>
        <w:t>stéatorrhée</w:t>
      </w:r>
      <w:r w:rsidR="004F743F" w:rsidRPr="00233A84">
        <w:rPr>
          <w:rFonts w:ascii="Times New Roman" w:hAnsi="Times New Roman"/>
          <w:sz w:val="24"/>
          <w:szCs w:val="24"/>
        </w:rPr>
        <w:t xml:space="preserve">. De plus, une excrétion insuffisante de bile dans l'ictère mécanique entraîne une accumulation de bile dans les voies biliaires avec syndrome cholestatique. En cas de </w:t>
      </w:r>
      <w:r w:rsidR="004F743F">
        <w:rPr>
          <w:rFonts w:ascii="Times New Roman" w:hAnsi="Times New Roman"/>
          <w:sz w:val="24"/>
          <w:szCs w:val="24"/>
        </w:rPr>
        <w:t xml:space="preserve">cholestase, </w:t>
      </w:r>
      <w:r w:rsidR="004F743F" w:rsidRPr="00233A84">
        <w:rPr>
          <w:rFonts w:ascii="Times New Roman" w:hAnsi="Times New Roman"/>
          <w:sz w:val="24"/>
          <w:szCs w:val="24"/>
        </w:rPr>
        <w:t xml:space="preserve">il y a dilatation des voies biliaires et des capillaires avec </w:t>
      </w:r>
      <w:r w:rsidR="004F743F">
        <w:rPr>
          <w:rFonts w:ascii="Times New Roman" w:hAnsi="Times New Roman"/>
          <w:sz w:val="24"/>
          <w:szCs w:val="24"/>
        </w:rPr>
        <w:t xml:space="preserve">régurgitation et retour de la bile </w:t>
      </w:r>
      <w:r w:rsidR="004F743F" w:rsidRPr="00233A84">
        <w:rPr>
          <w:rFonts w:ascii="Times New Roman" w:hAnsi="Times New Roman"/>
          <w:sz w:val="24"/>
          <w:szCs w:val="24"/>
        </w:rPr>
        <w:t>des voies extrahépatiques dans les voies intrahépatiques, l'espace de Disse, les voies lymphatiques et enfin dans les vaisseaux sanguins avec développement d'</w:t>
      </w:r>
      <w:r w:rsidR="004F743F" w:rsidRPr="00966016">
        <w:rPr>
          <w:rFonts w:ascii="Times New Roman" w:hAnsi="Times New Roman"/>
          <w:i/>
          <w:sz w:val="24"/>
          <w:szCs w:val="24"/>
        </w:rPr>
        <w:t>une cholémie</w:t>
      </w:r>
      <w:r w:rsidR="004F743F" w:rsidRPr="00233A84">
        <w:rPr>
          <w:rFonts w:ascii="Times New Roman" w:hAnsi="Times New Roman"/>
          <w:sz w:val="24"/>
          <w:szCs w:val="24"/>
        </w:rPr>
        <w:t>.</w:t>
      </w:r>
      <w:r w:rsidR="004F743F">
        <w:rPr>
          <w:rFonts w:ascii="Times New Roman" w:hAnsi="Times New Roman"/>
          <w:sz w:val="24"/>
          <w:szCs w:val="24"/>
        </w:rPr>
        <w:t xml:space="preserve">  </w:t>
      </w:r>
      <w:r w:rsidR="004F743F" w:rsidRPr="00233A84">
        <w:rPr>
          <w:rFonts w:ascii="Times New Roman" w:hAnsi="Times New Roman"/>
          <w:sz w:val="24"/>
          <w:szCs w:val="24"/>
        </w:rPr>
        <w:t xml:space="preserve"> En raison de </w:t>
      </w:r>
      <w:r w:rsidR="004F743F">
        <w:rPr>
          <w:rFonts w:ascii="Times New Roman" w:hAnsi="Times New Roman"/>
          <w:sz w:val="24"/>
          <w:szCs w:val="24"/>
        </w:rPr>
        <w:t>la cholémie</w:t>
      </w:r>
      <w:r w:rsidR="004F743F" w:rsidRPr="00233A84">
        <w:rPr>
          <w:rFonts w:ascii="Times New Roman" w:hAnsi="Times New Roman"/>
          <w:sz w:val="24"/>
          <w:szCs w:val="24"/>
        </w:rPr>
        <w:t xml:space="preserve">, tous </w:t>
      </w:r>
      <w:r w:rsidR="004F743F">
        <w:rPr>
          <w:rFonts w:ascii="Times New Roman" w:hAnsi="Times New Roman"/>
          <w:sz w:val="24"/>
          <w:szCs w:val="24"/>
        </w:rPr>
        <w:t xml:space="preserve">les composants de la bile </w:t>
      </w:r>
      <w:r w:rsidR="004F743F" w:rsidRPr="00233A84">
        <w:rPr>
          <w:rFonts w:ascii="Times New Roman" w:hAnsi="Times New Roman"/>
          <w:sz w:val="24"/>
          <w:szCs w:val="24"/>
        </w:rPr>
        <w:t xml:space="preserve">seront présents </w:t>
      </w:r>
      <w:r w:rsidR="004F743F">
        <w:rPr>
          <w:rFonts w:ascii="Times New Roman" w:hAnsi="Times New Roman"/>
          <w:sz w:val="24"/>
          <w:szCs w:val="24"/>
        </w:rPr>
        <w:t>dans le sang</w:t>
      </w:r>
      <w:r w:rsidR="004F743F" w:rsidRPr="00233A84">
        <w:rPr>
          <w:rFonts w:ascii="Times New Roman" w:hAnsi="Times New Roman"/>
          <w:sz w:val="24"/>
          <w:szCs w:val="24"/>
        </w:rPr>
        <w:t xml:space="preserve">. On peut observer une concentration accrue de bilirubine conjuguée, de cholestérol, d'acides biliaires et de phosphatase acide.  Les acides biliaires peuvent entraîner </w:t>
      </w:r>
      <w:r w:rsidR="004F743F">
        <w:rPr>
          <w:rFonts w:ascii="Times New Roman" w:hAnsi="Times New Roman"/>
          <w:sz w:val="24"/>
          <w:szCs w:val="24"/>
        </w:rPr>
        <w:t xml:space="preserve">un collapsus </w:t>
      </w:r>
      <w:r w:rsidR="004F743F" w:rsidRPr="00233A84">
        <w:rPr>
          <w:rFonts w:ascii="Times New Roman" w:hAnsi="Times New Roman"/>
          <w:sz w:val="24"/>
          <w:szCs w:val="24"/>
        </w:rPr>
        <w:t xml:space="preserve">et </w:t>
      </w:r>
      <w:r w:rsidR="00966016" w:rsidRPr="00233A84">
        <w:rPr>
          <w:rFonts w:ascii="Times New Roman" w:hAnsi="Times New Roman"/>
          <w:sz w:val="24"/>
          <w:szCs w:val="24"/>
        </w:rPr>
        <w:t>une bradycardie</w:t>
      </w:r>
      <w:r w:rsidR="004F743F" w:rsidRPr="00233A84">
        <w:rPr>
          <w:rFonts w:ascii="Times New Roman" w:hAnsi="Times New Roman"/>
          <w:sz w:val="24"/>
          <w:szCs w:val="24"/>
        </w:rPr>
        <w:t>, et provoquer un prurit en stimulant les terminaisons nerveuses de la peau.</w:t>
      </w:r>
    </w:p>
    <w:p w14:paraId="31E1A0E0" w14:textId="77777777" w:rsidR="004F743F" w:rsidRPr="00233A84" w:rsidRDefault="004F743F" w:rsidP="00966016">
      <w:pPr>
        <w:tabs>
          <w:tab w:val="left" w:pos="4770"/>
          <w:tab w:val="left" w:pos="7830"/>
        </w:tabs>
        <w:jc w:val="both"/>
        <w:rPr>
          <w:rFonts w:ascii="Times New Roman" w:hAnsi="Times New Roman"/>
          <w:sz w:val="24"/>
          <w:szCs w:val="24"/>
        </w:rPr>
      </w:pPr>
      <w:r w:rsidRPr="00233A84">
        <w:rPr>
          <w:rFonts w:ascii="Times New Roman" w:hAnsi="Times New Roman"/>
          <w:sz w:val="24"/>
          <w:szCs w:val="24"/>
        </w:rPr>
        <w:t>Les acides biliaires ont un effet toxique sur le système nerveux central, diminuant l'activité des neurones inhibiteurs du cerveau, ce qui entraîne une excitation exagérée alternant avec une dépression, une somnolence diurne et une insomnie nocturne. Comme les acides biliaires se lient facilement aux ions Ca</w:t>
      </w:r>
      <w:r w:rsidRPr="00966016">
        <w:rPr>
          <w:rFonts w:ascii="Times New Roman" w:hAnsi="Times New Roman"/>
          <w:sz w:val="24"/>
          <w:szCs w:val="24"/>
          <w:vertAlign w:val="superscript"/>
        </w:rPr>
        <w:t>+</w:t>
      </w:r>
      <w:r w:rsidRPr="00233A84">
        <w:rPr>
          <w:rFonts w:ascii="Times New Roman" w:hAnsi="Times New Roman"/>
          <w:sz w:val="24"/>
          <w:szCs w:val="24"/>
        </w:rPr>
        <w:t xml:space="preserve">, ils sont impliqués dans les troubles de la coagulation sanguine.  Il faut garder à l'esprit qu'en raison d'une malabsorption de la vitamine K, des troubles de la coagulation se développent à la suite d'une diminution de la synthèse </w:t>
      </w:r>
      <w:r w:rsidR="00966016">
        <w:rPr>
          <w:rFonts w:ascii="Times New Roman" w:hAnsi="Times New Roman"/>
          <w:sz w:val="24"/>
          <w:szCs w:val="24"/>
        </w:rPr>
        <w:t>des facteurs de coagulation dans le foie</w:t>
      </w:r>
      <w:r w:rsidRPr="00233A84">
        <w:rPr>
          <w:rFonts w:ascii="Times New Roman" w:hAnsi="Times New Roman"/>
          <w:sz w:val="24"/>
          <w:szCs w:val="24"/>
        </w:rPr>
        <w:t xml:space="preserve">. Une augmentation du taux de cholestérol dans le sang (hypercholestérolémie) entraîne son dépôt dans la peau avec </w:t>
      </w:r>
      <w:r>
        <w:rPr>
          <w:rFonts w:ascii="Times New Roman" w:hAnsi="Times New Roman"/>
          <w:sz w:val="24"/>
          <w:szCs w:val="24"/>
        </w:rPr>
        <w:t xml:space="preserve">xantomatose.  </w:t>
      </w:r>
    </w:p>
    <w:p w14:paraId="37E5884B" w14:textId="77777777" w:rsidR="004F743F" w:rsidRPr="00233A84" w:rsidRDefault="004F743F" w:rsidP="004F743F">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Pr="00233A84">
        <w:rPr>
          <w:rFonts w:ascii="Times New Roman" w:hAnsi="Times New Roman"/>
          <w:sz w:val="24"/>
          <w:szCs w:val="24"/>
        </w:rPr>
        <w:t xml:space="preserve">En raison de </w:t>
      </w:r>
      <w:r w:rsidR="00966016" w:rsidRPr="00233A84">
        <w:rPr>
          <w:rFonts w:ascii="Times New Roman" w:hAnsi="Times New Roman"/>
          <w:sz w:val="24"/>
          <w:szCs w:val="24"/>
        </w:rPr>
        <w:t xml:space="preserve">l'acholie </w:t>
      </w:r>
      <w:r w:rsidRPr="00233A84">
        <w:rPr>
          <w:rFonts w:ascii="Times New Roman" w:hAnsi="Times New Roman"/>
          <w:sz w:val="24"/>
          <w:szCs w:val="24"/>
        </w:rPr>
        <w:t xml:space="preserve">(absence de bile dans le duodénum), on observe une diminution de l'activité de la lipase, de la trypsine et de l'amylase, associée à </w:t>
      </w:r>
      <w:r w:rsidR="00966016">
        <w:rPr>
          <w:rFonts w:ascii="Times New Roman" w:hAnsi="Times New Roman"/>
          <w:sz w:val="24"/>
          <w:szCs w:val="24"/>
        </w:rPr>
        <w:t xml:space="preserve">une mauvaise digestion </w:t>
      </w:r>
      <w:r>
        <w:rPr>
          <w:rFonts w:ascii="Times New Roman" w:hAnsi="Times New Roman"/>
          <w:sz w:val="24"/>
          <w:szCs w:val="24"/>
        </w:rPr>
        <w:t xml:space="preserve">des protéines </w:t>
      </w:r>
      <w:r w:rsidRPr="00233A84">
        <w:rPr>
          <w:rFonts w:ascii="Times New Roman" w:hAnsi="Times New Roman"/>
          <w:sz w:val="24"/>
          <w:szCs w:val="24"/>
        </w:rPr>
        <w:t>et des glucides, ainsi qu'à une décoloration des selles (absence de stercobiline). En l'absence d'acides biliaires</w:t>
      </w:r>
      <w:r w:rsidR="00966016">
        <w:rPr>
          <w:rFonts w:ascii="Times New Roman" w:hAnsi="Times New Roman"/>
          <w:sz w:val="24"/>
          <w:szCs w:val="24"/>
        </w:rPr>
        <w:t xml:space="preserve">, </w:t>
      </w:r>
      <w:r w:rsidRPr="00233A84">
        <w:rPr>
          <w:rFonts w:ascii="Times New Roman" w:hAnsi="Times New Roman"/>
          <w:sz w:val="24"/>
          <w:szCs w:val="24"/>
        </w:rPr>
        <w:t xml:space="preserve">une dysbactériose peut se développer, entraînant </w:t>
      </w:r>
      <w:r w:rsidR="00966016">
        <w:rPr>
          <w:rFonts w:ascii="Times New Roman" w:hAnsi="Times New Roman"/>
          <w:sz w:val="24"/>
          <w:szCs w:val="24"/>
        </w:rPr>
        <w:t xml:space="preserve">une augmentation de la fermentation intestinale </w:t>
      </w:r>
      <w:r w:rsidRPr="00233A84">
        <w:rPr>
          <w:rFonts w:ascii="Times New Roman" w:hAnsi="Times New Roman"/>
          <w:sz w:val="24"/>
          <w:szCs w:val="24"/>
        </w:rPr>
        <w:t>avec une réduction du péristaltisme intestinal, un météorisme et une constipation. Parfois, la constipation peut alterner avec la diarrhée en raison de l'absence d'effet bactéricide de la bile. On peut trouver dans l'urine de la bilirubine conjuguée (bilirubinurie) et une quantité élevée d'acides biliaires (</w:t>
      </w:r>
      <w:r w:rsidRPr="00966016">
        <w:rPr>
          <w:rFonts w:ascii="Times New Roman" w:hAnsi="Times New Roman"/>
          <w:i/>
          <w:sz w:val="24"/>
          <w:szCs w:val="24"/>
        </w:rPr>
        <w:t>cholalurie</w:t>
      </w:r>
      <w:r w:rsidRPr="00233A84">
        <w:rPr>
          <w:rFonts w:ascii="Times New Roman" w:hAnsi="Times New Roman"/>
          <w:sz w:val="24"/>
          <w:szCs w:val="24"/>
        </w:rPr>
        <w:t xml:space="preserve">). </w:t>
      </w:r>
    </w:p>
    <w:p w14:paraId="7BAA7F32" w14:textId="77777777" w:rsidR="004F743F" w:rsidRPr="00DC75CD" w:rsidRDefault="004F743F" w:rsidP="00DC75CD">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Pr="00233A84">
        <w:rPr>
          <w:rFonts w:ascii="Times New Roman" w:hAnsi="Times New Roman"/>
          <w:sz w:val="24"/>
          <w:szCs w:val="24"/>
        </w:rPr>
        <w:t xml:space="preserve">Lorsque la stase biliaire est prolongée, elle peut entraîner une cholestase intrahépatique et une augmentation </w:t>
      </w:r>
      <w:r>
        <w:rPr>
          <w:rFonts w:ascii="Times New Roman" w:hAnsi="Times New Roman"/>
          <w:sz w:val="24"/>
          <w:szCs w:val="24"/>
        </w:rPr>
        <w:t>des composants</w:t>
      </w:r>
      <w:r w:rsidRPr="00233A84">
        <w:rPr>
          <w:rFonts w:ascii="Times New Roman" w:hAnsi="Times New Roman"/>
          <w:sz w:val="24"/>
          <w:szCs w:val="24"/>
        </w:rPr>
        <w:t xml:space="preserve"> biliaires </w:t>
      </w:r>
      <w:r>
        <w:rPr>
          <w:rFonts w:ascii="Times New Roman" w:hAnsi="Times New Roman"/>
          <w:sz w:val="24"/>
          <w:szCs w:val="24"/>
        </w:rPr>
        <w:t>dans le hyaloplasme des hépatocytes</w:t>
      </w:r>
      <w:r w:rsidRPr="00233A84">
        <w:rPr>
          <w:rFonts w:ascii="Times New Roman" w:hAnsi="Times New Roman"/>
          <w:sz w:val="24"/>
          <w:szCs w:val="24"/>
        </w:rPr>
        <w:t xml:space="preserve">, ainsi que certains </w:t>
      </w:r>
      <w:r w:rsidR="00DC75CD">
        <w:rPr>
          <w:rFonts w:ascii="Times New Roman" w:hAnsi="Times New Roman"/>
          <w:sz w:val="24"/>
          <w:szCs w:val="24"/>
        </w:rPr>
        <w:t>troubles métaboliques (</w:t>
      </w:r>
      <w:r w:rsidRPr="00233A84">
        <w:rPr>
          <w:rFonts w:ascii="Times New Roman" w:hAnsi="Times New Roman"/>
          <w:sz w:val="24"/>
          <w:szCs w:val="24"/>
        </w:rPr>
        <w:t xml:space="preserve">inhibition de la réaction oxydative et </w:t>
      </w:r>
      <w:r>
        <w:rPr>
          <w:rFonts w:ascii="Times New Roman" w:hAnsi="Times New Roman"/>
          <w:sz w:val="24"/>
          <w:szCs w:val="24"/>
        </w:rPr>
        <w:t xml:space="preserve">de la synthèse d'ATP). Les acides biliaires agissent </w:t>
      </w:r>
      <w:r w:rsidR="00DC75CD">
        <w:rPr>
          <w:rFonts w:ascii="Times New Roman" w:hAnsi="Times New Roman"/>
          <w:sz w:val="24"/>
          <w:szCs w:val="24"/>
        </w:rPr>
        <w:t>directement sur le réticulum endoplasmique</w:t>
      </w:r>
      <w:r w:rsidRPr="00233A84">
        <w:rPr>
          <w:rFonts w:ascii="Times New Roman" w:hAnsi="Times New Roman"/>
          <w:sz w:val="24"/>
          <w:szCs w:val="24"/>
        </w:rPr>
        <w:t xml:space="preserve">. Les pigments biliaires inhibent la synthèse enzymatique en consommant de l'énergie. Ainsi, dans ces circonstances, l'ictère mécanique peut s'accompagner d'un ictère hépatique dont l'évolution est beaucoup plus grave, conduisant parfois à une insuffisance hépatique. </w:t>
      </w:r>
    </w:p>
    <w:p w14:paraId="56DE9082" w14:textId="1B66A22C" w:rsidR="004F743F" w:rsidRDefault="00CE7796"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r>
        <w:rPr>
          <w:rFonts w:ascii="Times New Roman" w:hAnsi="Times New Roman"/>
          <w:noProof/>
          <w:sz w:val="24"/>
          <w:szCs w:val="24"/>
        </w:rPr>
        <mc:AlternateContent>
          <mc:Choice Requires="wpg">
            <w:drawing>
              <wp:anchor distT="0" distB="0" distL="114300" distR="114300" simplePos="0" relativeHeight="251664384" behindDoc="0" locked="0" layoutInCell="0" allowOverlap="1" wp14:anchorId="09FB6A92" wp14:editId="1D1A777C">
                <wp:simplePos x="0" y="0"/>
                <wp:positionH relativeFrom="column">
                  <wp:posOffset>344170</wp:posOffset>
                </wp:positionH>
                <wp:positionV relativeFrom="paragraph">
                  <wp:posOffset>154940</wp:posOffset>
                </wp:positionV>
                <wp:extent cx="4966335" cy="4339590"/>
                <wp:effectExtent l="10795" t="12065" r="13970" b="10795"/>
                <wp:wrapNone/>
                <wp:docPr id="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335" cy="4339590"/>
                          <a:chOff x="3129" y="2861"/>
                          <a:chExt cx="5712" cy="5715"/>
                        </a:xfrm>
                      </wpg:grpSpPr>
                      <wps:wsp>
                        <wps:cNvPr id="14" name="Line 86"/>
                        <wps:cNvCnPr>
                          <a:cxnSpLocks noChangeShapeType="1"/>
                        </wps:cNvCnPr>
                        <wps:spPr bwMode="auto">
                          <a:xfrm>
                            <a:off x="7532" y="428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87"/>
                        <wps:cNvCnPr>
                          <a:cxnSpLocks noChangeShapeType="1"/>
                        </wps:cNvCnPr>
                        <wps:spPr bwMode="auto">
                          <a:xfrm>
                            <a:off x="7532" y="5836"/>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88"/>
                        <wps:cNvCnPr>
                          <a:cxnSpLocks noChangeShapeType="1"/>
                        </wps:cNvCnPr>
                        <wps:spPr bwMode="auto">
                          <a:xfrm>
                            <a:off x="4676" y="7264"/>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89"/>
                        <wps:cNvCnPr>
                          <a:cxnSpLocks noChangeShapeType="1"/>
                        </wps:cNvCnPr>
                        <wps:spPr bwMode="auto">
                          <a:xfrm>
                            <a:off x="4676" y="666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0"/>
                        <wps:cNvCnPr>
                          <a:cxnSpLocks noChangeShapeType="1"/>
                        </wps:cNvCnPr>
                        <wps:spPr bwMode="auto">
                          <a:xfrm>
                            <a:off x="4676" y="5836"/>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1"/>
                        <wps:cNvCnPr>
                          <a:cxnSpLocks noChangeShapeType="1"/>
                        </wps:cNvCnPr>
                        <wps:spPr bwMode="auto">
                          <a:xfrm>
                            <a:off x="4676" y="428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2"/>
                        <wps:cNvCnPr>
                          <a:cxnSpLocks noChangeShapeType="1"/>
                        </wps:cNvCnPr>
                        <wps:spPr bwMode="auto">
                          <a:xfrm flipV="1">
                            <a:off x="3465" y="4348"/>
                            <a:ext cx="1" cy="2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93"/>
                        <wps:cNvSpPr>
                          <a:spLocks noChangeArrowheads="1"/>
                        </wps:cNvSpPr>
                        <wps:spPr bwMode="auto">
                          <a:xfrm>
                            <a:off x="6223" y="2861"/>
                            <a:ext cx="2618" cy="1507"/>
                          </a:xfrm>
                          <a:prstGeom prst="rect">
                            <a:avLst/>
                          </a:prstGeom>
                          <a:solidFill>
                            <a:srgbClr val="FFFFFF"/>
                          </a:solidFill>
                          <a:ln w="12700">
                            <a:solidFill>
                              <a:srgbClr val="000000"/>
                            </a:solidFill>
                            <a:miter lim="800000"/>
                            <a:headEnd/>
                            <a:tailEnd/>
                          </a:ln>
                        </wps:spPr>
                        <wps:txbx>
                          <w:txbxContent>
                            <w:p w14:paraId="0BAF0349" w14:textId="77777777" w:rsidR="0076556E" w:rsidRPr="00F821B0" w:rsidRDefault="0076556E" w:rsidP="00DC75CD">
                              <w:pPr>
                                <w:pStyle w:val="Titlu2"/>
                                <w:jc w:val="center"/>
                                <w:rPr>
                                  <w:sz w:val="16"/>
                                  <w:u w:val="single"/>
                                </w:rPr>
                              </w:pPr>
                              <w:r w:rsidRPr="00F821B0">
                                <w:rPr>
                                  <w:sz w:val="16"/>
                                  <w:u w:val="single"/>
                                </w:rPr>
                                <w:t>DANS LE SYSTÈME MACROPHAGIQUE</w:t>
                              </w:r>
                            </w:p>
                            <w:p w14:paraId="541DC76F" w14:textId="77777777"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lang w:val="ro-RO"/>
                                </w:rPr>
                                <w:t>À partir de l'hémoglobine, une quantité normale de bilirubine libre est synthétisée.</w:t>
                              </w:r>
                            </w:p>
                          </w:txbxContent>
                        </wps:txbx>
                        <wps:bodyPr rot="0" vert="horz" wrap="square" lIns="91440" tIns="45720" rIns="91440" bIns="45720" anchor="t" anchorCtr="0" upright="1">
                          <a:noAutofit/>
                        </wps:bodyPr>
                      </wps:wsp>
                      <wps:wsp>
                        <wps:cNvPr id="22" name="Rectangle 94"/>
                        <wps:cNvSpPr>
                          <a:spLocks noChangeArrowheads="1"/>
                        </wps:cNvSpPr>
                        <wps:spPr bwMode="auto">
                          <a:xfrm>
                            <a:off x="3129" y="2861"/>
                            <a:ext cx="2737" cy="1510"/>
                          </a:xfrm>
                          <a:prstGeom prst="rect">
                            <a:avLst/>
                          </a:prstGeom>
                          <a:solidFill>
                            <a:srgbClr val="FFFFFF"/>
                          </a:solidFill>
                          <a:ln w="12700">
                            <a:solidFill>
                              <a:srgbClr val="000000"/>
                            </a:solidFill>
                            <a:miter lim="800000"/>
                            <a:headEnd/>
                            <a:tailEnd/>
                          </a:ln>
                        </wps:spPr>
                        <wps:txbx>
                          <w:txbxContent>
                            <w:p w14:paraId="55244BF0" w14:textId="77777777" w:rsidR="0076556E" w:rsidRPr="00F821B0" w:rsidRDefault="0076556E" w:rsidP="004F743F">
                              <w:pPr>
                                <w:pStyle w:val="Titlu2"/>
                                <w:jc w:val="center"/>
                                <w:rPr>
                                  <w:rFonts w:ascii="Arial" w:hAnsi="Arial"/>
                                  <w:sz w:val="16"/>
                                  <w:u w:val="single"/>
                                </w:rPr>
                              </w:pPr>
                              <w:r w:rsidRPr="00F821B0">
                                <w:rPr>
                                  <w:rFonts w:ascii="Arial" w:hAnsi="Arial"/>
                                  <w:sz w:val="16"/>
                                  <w:u w:val="single"/>
                                </w:rPr>
                                <w:t>DANS LA CIRCULATION SANGUINE</w:t>
                              </w:r>
                            </w:p>
                            <w:p w14:paraId="6C821C3D" w14:textId="77777777" w:rsidR="0076556E" w:rsidRPr="00DC75CD"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DC75CD">
                                <w:rPr>
                                  <w:b w:val="0"/>
                                  <w:sz w:val="20"/>
                                </w:rPr>
                                <w:t>il y a une concentration normale de bilirubine libre et une concentration élevée de bilirubine conjuguée</w:t>
                              </w:r>
                            </w:p>
                          </w:txbxContent>
                        </wps:txbx>
                        <wps:bodyPr rot="0" vert="horz" wrap="square" lIns="91440" tIns="45720" rIns="91440" bIns="45720" anchor="t" anchorCtr="0" upright="1">
                          <a:noAutofit/>
                        </wps:bodyPr>
                      </wps:wsp>
                      <wps:wsp>
                        <wps:cNvPr id="23" name="Rectangle 95"/>
                        <wps:cNvSpPr>
                          <a:spLocks noChangeArrowheads="1"/>
                        </wps:cNvSpPr>
                        <wps:spPr bwMode="auto">
                          <a:xfrm>
                            <a:off x="6223" y="4519"/>
                            <a:ext cx="2618" cy="1360"/>
                          </a:xfrm>
                          <a:prstGeom prst="rect">
                            <a:avLst/>
                          </a:prstGeom>
                          <a:solidFill>
                            <a:srgbClr val="FFFFFF"/>
                          </a:solidFill>
                          <a:ln w="12700">
                            <a:solidFill>
                              <a:srgbClr val="000000"/>
                            </a:solidFill>
                            <a:miter lim="800000"/>
                            <a:headEnd/>
                            <a:tailEnd/>
                          </a:ln>
                        </wps:spPr>
                        <wps:txbx>
                          <w:txbxContent>
                            <w:p w14:paraId="5CD6B99F" w14:textId="77777777" w:rsidR="0076556E" w:rsidRPr="00DC75CD" w:rsidRDefault="0076556E" w:rsidP="004F743F">
                              <w:pPr>
                                <w:pStyle w:val="Titlu1"/>
                                <w:jc w:val="center"/>
                                <w:rPr>
                                  <w:rFonts w:ascii="Arial" w:hAnsi="Arial"/>
                                  <w:b/>
                                  <w:sz w:val="18"/>
                                  <w:szCs w:val="18"/>
                                  <w:u w:val="single"/>
                                </w:rPr>
                              </w:pPr>
                              <w:r w:rsidRPr="00F821B0">
                                <w:rPr>
                                  <w:rFonts w:ascii="Arial" w:hAnsi="Arial"/>
                                  <w:b/>
                                  <w:sz w:val="18"/>
                                  <w:szCs w:val="18"/>
                                  <w:u w:val="single"/>
                                </w:rPr>
                                <w:t xml:space="preserve">DANS </w:t>
                              </w:r>
                              <w:r w:rsidRPr="00DC75CD">
                                <w:rPr>
                                  <w:rFonts w:ascii="Arial" w:hAnsi="Arial"/>
                                  <w:b/>
                                  <w:sz w:val="18"/>
                                  <w:szCs w:val="18"/>
                                  <w:u w:val="single"/>
                                </w:rPr>
                                <w:t>L'INTESTIN</w:t>
                              </w:r>
                              <w:r w:rsidRPr="00F821B0">
                                <w:rPr>
                                  <w:rFonts w:ascii="Arial" w:hAnsi="Arial"/>
                                  <w:b/>
                                  <w:sz w:val="18"/>
                                  <w:szCs w:val="18"/>
                                  <w:u w:val="single"/>
                                </w:rPr>
                                <w:t xml:space="preserve"> GRÊLE</w:t>
                              </w:r>
                            </w:p>
                            <w:p w14:paraId="349BF4A9" w14:textId="77777777" w:rsidR="0076556E" w:rsidRDefault="0076556E" w:rsidP="004F743F">
                              <w:pPr>
                                <w:pStyle w:val="Titlu3"/>
                                <w:pBdr>
                                  <w:top w:val="none" w:sz="0" w:space="0" w:color="auto"/>
                                  <w:left w:val="none" w:sz="0" w:space="0" w:color="auto"/>
                                  <w:bottom w:val="none" w:sz="0" w:space="0" w:color="auto"/>
                                  <w:right w:val="none" w:sz="0" w:space="0" w:color="auto"/>
                                </w:pBdr>
                                <w:jc w:val="center"/>
                                <w:rPr>
                                  <w:rFonts w:ascii="Arial" w:hAnsi="Arial"/>
                                  <w:b w:val="0"/>
                                  <w:sz w:val="16"/>
                                </w:rPr>
                              </w:pPr>
                              <w:r w:rsidRPr="00DC75CD">
                                <w:rPr>
                                  <w:rFonts w:ascii="Arial" w:hAnsi="Arial"/>
                                  <w:sz w:val="16"/>
                                </w:rPr>
                                <w:t xml:space="preserve">Acholie </w:t>
                              </w:r>
                            </w:p>
                            <w:p w14:paraId="5E05C073" w14:textId="77777777" w:rsidR="0076556E" w:rsidRPr="00DC75CD" w:rsidRDefault="0076556E" w:rsidP="00DC75CD">
                              <w:pPr>
                                <w:pStyle w:val="Titlu3"/>
                                <w:pBdr>
                                  <w:top w:val="none" w:sz="0" w:space="0" w:color="auto"/>
                                  <w:left w:val="none" w:sz="0" w:space="0" w:color="auto"/>
                                  <w:bottom w:val="none" w:sz="0" w:space="0" w:color="auto"/>
                                  <w:right w:val="none" w:sz="0" w:space="0" w:color="auto"/>
                                </w:pBdr>
                                <w:rPr>
                                  <w:sz w:val="20"/>
                                </w:rPr>
                              </w:pPr>
                              <w:r w:rsidRPr="00DC75CD">
                                <w:rPr>
                                  <w:b w:val="0"/>
                                  <w:sz w:val="20"/>
                                </w:rPr>
                                <w:t xml:space="preserve">Il y a un manque de bile, la bilirubine conjuguée est </w:t>
                              </w:r>
                              <w:r>
                                <w:rPr>
                                  <w:b w:val="0"/>
                                  <w:sz w:val="20"/>
                                </w:rPr>
                                <w:t xml:space="preserve">également absente, donc l'urobilinogène ne peut pas </w:t>
                              </w:r>
                              <w:r w:rsidRPr="00DC75CD">
                                <w:rPr>
                                  <w:b w:val="0"/>
                                  <w:sz w:val="20"/>
                                </w:rPr>
                                <w:t>être formé.</w:t>
                              </w:r>
                            </w:p>
                          </w:txbxContent>
                        </wps:txbx>
                        <wps:bodyPr rot="0" vert="horz" wrap="square" lIns="91440" tIns="45720" rIns="91440" bIns="45720" anchor="t" anchorCtr="0" upright="1">
                          <a:noAutofit/>
                        </wps:bodyPr>
                      </wps:wsp>
                      <wps:wsp>
                        <wps:cNvPr id="24" name="Rectangle 96"/>
                        <wps:cNvSpPr>
                          <a:spLocks noChangeArrowheads="1"/>
                        </wps:cNvSpPr>
                        <wps:spPr bwMode="auto">
                          <a:xfrm>
                            <a:off x="3605" y="4527"/>
                            <a:ext cx="2261" cy="1367"/>
                          </a:xfrm>
                          <a:prstGeom prst="rect">
                            <a:avLst/>
                          </a:prstGeom>
                          <a:solidFill>
                            <a:srgbClr val="FFFFFF"/>
                          </a:solidFill>
                          <a:ln w="12700">
                            <a:solidFill>
                              <a:srgbClr val="000000"/>
                            </a:solidFill>
                            <a:miter lim="800000"/>
                            <a:headEnd/>
                            <a:tailEnd/>
                          </a:ln>
                        </wps:spPr>
                        <wps:txbx>
                          <w:txbxContent>
                            <w:p w14:paraId="3E06797A" w14:textId="77777777" w:rsidR="0076556E" w:rsidRPr="00195E86" w:rsidRDefault="0076556E" w:rsidP="004F743F">
                              <w:pPr>
                                <w:pStyle w:val="Titlu2"/>
                                <w:jc w:val="center"/>
                                <w:rPr>
                                  <w:rFonts w:ascii="Arial" w:hAnsi="Arial"/>
                                  <w:sz w:val="18"/>
                                  <w:u w:val="single"/>
                                </w:rPr>
                              </w:pPr>
                              <w:r w:rsidRPr="00195E86">
                                <w:rPr>
                                  <w:rFonts w:ascii="Arial" w:hAnsi="Arial"/>
                                  <w:sz w:val="18"/>
                                  <w:u w:val="single"/>
                                </w:rPr>
                                <w:t>DANS LE FOIE</w:t>
                              </w:r>
                            </w:p>
                            <w:p w14:paraId="196F045B" w14:textId="77777777" w:rsidR="0076556E" w:rsidRPr="00DC75CD" w:rsidRDefault="0076556E" w:rsidP="004F743F">
                              <w:pPr>
                                <w:pStyle w:val="Titlu2"/>
                                <w:jc w:val="center"/>
                                <w:rPr>
                                  <w:b w:val="0"/>
                                  <w:sz w:val="20"/>
                                </w:rPr>
                              </w:pPr>
                              <w:r w:rsidRPr="00DC75CD">
                                <w:rPr>
                                  <w:b w:val="0"/>
                                  <w:sz w:val="20"/>
                                </w:rPr>
                                <w:t>La bilirubine libre est capturée et transformée en bilirubine conjuguée.</w:t>
                              </w:r>
                            </w:p>
                          </w:txbxContent>
                        </wps:txbx>
                        <wps:bodyPr rot="0" vert="horz" wrap="square" lIns="91440" tIns="45720" rIns="91440" bIns="45720" anchor="t" anchorCtr="0" upright="1">
                          <a:noAutofit/>
                        </wps:bodyPr>
                      </wps:wsp>
                      <wps:wsp>
                        <wps:cNvPr id="25" name="Line 97"/>
                        <wps:cNvCnPr>
                          <a:cxnSpLocks noChangeShapeType="1"/>
                        </wps:cNvCnPr>
                        <wps:spPr bwMode="auto">
                          <a:xfrm>
                            <a:off x="5819" y="588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98"/>
                        <wps:cNvSpPr>
                          <a:spLocks noChangeArrowheads="1"/>
                        </wps:cNvSpPr>
                        <wps:spPr bwMode="auto">
                          <a:xfrm>
                            <a:off x="6306" y="6085"/>
                            <a:ext cx="2499" cy="1985"/>
                          </a:xfrm>
                          <a:prstGeom prst="rect">
                            <a:avLst/>
                          </a:prstGeom>
                          <a:solidFill>
                            <a:srgbClr val="FFFFFF"/>
                          </a:solidFill>
                          <a:ln w="12700">
                            <a:solidFill>
                              <a:srgbClr val="000000"/>
                            </a:solidFill>
                            <a:miter lim="800000"/>
                            <a:headEnd/>
                            <a:tailEnd/>
                          </a:ln>
                        </wps:spPr>
                        <wps:txbx>
                          <w:txbxContent>
                            <w:p w14:paraId="47B42E82" w14:textId="77777777" w:rsidR="0076556E" w:rsidRPr="00F821B0" w:rsidRDefault="0076556E" w:rsidP="00DC75CD">
                              <w:pPr>
                                <w:pStyle w:val="Titlu1"/>
                                <w:jc w:val="center"/>
                                <w:rPr>
                                  <w:rFonts w:ascii="Arial" w:eastAsia="Calibri" w:hAnsi="Arial"/>
                                  <w:b/>
                                  <w:sz w:val="16"/>
                                  <w:szCs w:val="22"/>
                                  <w:u w:val="single"/>
                                  <w:lang w:eastAsia="en-US"/>
                                </w:rPr>
                              </w:pPr>
                              <w:r>
                                <w:rPr>
                                  <w:rFonts w:ascii="Arial" w:eastAsia="Calibri" w:hAnsi="Arial"/>
                                  <w:b/>
                                  <w:sz w:val="16"/>
                                  <w:szCs w:val="22"/>
                                  <w:u w:val="single"/>
                                  <w:lang w:eastAsia="en-US"/>
                                </w:rPr>
                                <w:t>DANS LE GROS INTESTIN</w:t>
                              </w:r>
                            </w:p>
                            <w:p w14:paraId="66691481" w14:textId="77777777" w:rsidR="0076556E" w:rsidRPr="00DC75CD" w:rsidRDefault="0076556E" w:rsidP="00DC75CD">
                              <w:pPr>
                                <w:pStyle w:val="Titlu1"/>
                                <w:jc w:val="center"/>
                                <w:rPr>
                                  <w:rFonts w:eastAsia="Calibri"/>
                                  <w:sz w:val="20"/>
                                  <w:lang w:eastAsia="en-US"/>
                                </w:rPr>
                              </w:pPr>
                              <w:r w:rsidRPr="00DC75CD">
                                <w:rPr>
                                  <w:rFonts w:eastAsia="Calibri"/>
                                  <w:sz w:val="20"/>
                                  <w:lang w:eastAsia="en-US"/>
                                </w:rPr>
                                <w:t xml:space="preserve">Le stercobilinogène et la stercobiline </w:t>
                              </w:r>
                              <w:r>
                                <w:rPr>
                                  <w:rFonts w:eastAsia="Calibri"/>
                                  <w:sz w:val="20"/>
                                  <w:lang w:eastAsia="en-US"/>
                                </w:rPr>
                                <w:t xml:space="preserve">sont </w:t>
                              </w:r>
                              <w:r w:rsidRPr="00DC75CD">
                                <w:rPr>
                                  <w:rFonts w:eastAsia="Calibri"/>
                                  <w:sz w:val="20"/>
                                  <w:lang w:eastAsia="en-US"/>
                                </w:rPr>
                                <w:t>absents.</w:t>
                              </w:r>
                            </w:p>
                            <w:p w14:paraId="68448C8D" w14:textId="77777777" w:rsidR="0076556E" w:rsidRPr="00DC75CD" w:rsidRDefault="0076556E" w:rsidP="00DC75CD">
                              <w:pPr>
                                <w:pStyle w:val="Titlu1"/>
                                <w:jc w:val="center"/>
                                <w:rPr>
                                  <w:sz w:val="20"/>
                                  <w:lang w:val="it-IT"/>
                                </w:rPr>
                              </w:pPr>
                              <w:r w:rsidRPr="00DC75CD">
                                <w:rPr>
                                  <w:sz w:val="20"/>
                                </w:rPr>
                                <w:t>Les selles sont décolorées et grasses (stéatorrhée).</w:t>
                              </w:r>
                            </w:p>
                          </w:txbxContent>
                        </wps:txbx>
                        <wps:bodyPr rot="0" vert="horz" wrap="square" lIns="91440" tIns="45720" rIns="91440" bIns="45720" anchor="t" anchorCtr="0" upright="1">
                          <a:noAutofit/>
                        </wps:bodyPr>
                      </wps:wsp>
                      <wps:wsp>
                        <wps:cNvPr id="27" name="Text Box 99"/>
                        <wps:cNvSpPr txBox="1">
                          <a:spLocks noChangeArrowheads="1"/>
                        </wps:cNvSpPr>
                        <wps:spPr bwMode="auto">
                          <a:xfrm>
                            <a:off x="3367" y="6106"/>
                            <a:ext cx="2508" cy="614"/>
                          </a:xfrm>
                          <a:prstGeom prst="rect">
                            <a:avLst/>
                          </a:prstGeom>
                          <a:solidFill>
                            <a:srgbClr val="FFFFFF"/>
                          </a:solidFill>
                          <a:ln w="12700">
                            <a:solidFill>
                              <a:srgbClr val="000000"/>
                            </a:solidFill>
                            <a:miter lim="800000"/>
                            <a:headEnd/>
                            <a:tailEnd/>
                          </a:ln>
                        </wps:spPr>
                        <wps:txbx>
                          <w:txbxContent>
                            <w:p w14:paraId="7172347A" w14:textId="77777777"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rPr>
                                <w:t>Cholestase sévère</w:t>
                              </w:r>
                            </w:p>
                          </w:txbxContent>
                        </wps:txbx>
                        <wps:bodyPr rot="0" vert="horz" wrap="square" lIns="91440" tIns="45720" rIns="91440" bIns="45720" anchor="t" anchorCtr="0" upright="1">
                          <a:noAutofit/>
                        </wps:bodyPr>
                      </wps:wsp>
                      <wps:wsp>
                        <wps:cNvPr id="28" name="Text Box 100"/>
                        <wps:cNvSpPr txBox="1">
                          <a:spLocks noChangeArrowheads="1"/>
                        </wps:cNvSpPr>
                        <wps:spPr bwMode="auto">
                          <a:xfrm>
                            <a:off x="3369" y="6920"/>
                            <a:ext cx="2497" cy="418"/>
                          </a:xfrm>
                          <a:prstGeom prst="rect">
                            <a:avLst/>
                          </a:prstGeom>
                          <a:solidFill>
                            <a:srgbClr val="FFFFFF"/>
                          </a:solidFill>
                          <a:ln w="12700">
                            <a:solidFill>
                              <a:srgbClr val="000000"/>
                            </a:solidFill>
                            <a:miter lim="800000"/>
                            <a:headEnd/>
                            <a:tailEnd/>
                          </a:ln>
                        </wps:spPr>
                        <wps:txbx>
                          <w:txbxContent>
                            <w:p w14:paraId="499E9E07" w14:textId="77777777" w:rsidR="0076556E" w:rsidRDefault="0076556E" w:rsidP="004F743F">
                              <w:pPr>
                                <w:jc w:val="center"/>
                                <w:rPr>
                                  <w:rFonts w:ascii="Arial" w:hAnsi="Arial"/>
                                  <w:sz w:val="16"/>
                                  <w:lang w:val="ro-RO"/>
                                </w:rPr>
                              </w:pPr>
                              <w:r>
                                <w:rPr>
                                  <w:rFonts w:ascii="Arial" w:hAnsi="Arial"/>
                                  <w:sz w:val="16"/>
                                </w:rPr>
                                <w:t>Cholémie prononcée</w:t>
                              </w:r>
                            </w:p>
                          </w:txbxContent>
                        </wps:txbx>
                        <wps:bodyPr rot="0" vert="horz" wrap="square" lIns="91440" tIns="45720" rIns="91440" bIns="45720" anchor="t" anchorCtr="0" upright="1">
                          <a:noAutofit/>
                        </wps:bodyPr>
                      </wps:wsp>
                      <wps:wsp>
                        <wps:cNvPr id="29" name="Text Box 101"/>
                        <wps:cNvSpPr txBox="1">
                          <a:spLocks noChangeArrowheads="1"/>
                        </wps:cNvSpPr>
                        <wps:spPr bwMode="auto">
                          <a:xfrm>
                            <a:off x="3216" y="7539"/>
                            <a:ext cx="2618" cy="532"/>
                          </a:xfrm>
                          <a:prstGeom prst="rect">
                            <a:avLst/>
                          </a:prstGeom>
                          <a:solidFill>
                            <a:srgbClr val="FFFFFF"/>
                          </a:solidFill>
                          <a:ln w="12700">
                            <a:solidFill>
                              <a:srgbClr val="000000"/>
                            </a:solidFill>
                            <a:miter lim="800000"/>
                            <a:headEnd/>
                            <a:tailEnd/>
                          </a:ln>
                        </wps:spPr>
                        <wps:txbx>
                          <w:txbxContent>
                            <w:p w14:paraId="4C75DB00" w14:textId="77777777" w:rsidR="0076556E" w:rsidRPr="004A01DB" w:rsidRDefault="0076556E" w:rsidP="004F743F">
                              <w:pPr>
                                <w:jc w:val="center"/>
                                <w:rPr>
                                  <w:rFonts w:ascii="Times New Roman" w:hAnsi="Times New Roman" w:cs="Times New Roman"/>
                                  <w:sz w:val="20"/>
                                  <w:szCs w:val="20"/>
                                  <w:lang w:val="ro-RO"/>
                                </w:rPr>
                              </w:pPr>
                              <w:r w:rsidRPr="004A01DB">
                                <w:rPr>
                                  <w:rFonts w:ascii="Times New Roman" w:hAnsi="Times New Roman" w:cs="Times New Roman"/>
                                  <w:sz w:val="20"/>
                                  <w:szCs w:val="20"/>
                                </w:rPr>
                                <w:t>Dans l'urine, bilirubinurie prononcée, cholalurie (urine foncée)</w:t>
                              </w:r>
                            </w:p>
                          </w:txbxContent>
                        </wps:txbx>
                        <wps:bodyPr rot="0" vert="horz" wrap="square" lIns="91440" tIns="45720" rIns="91440" bIns="45720" anchor="t" anchorCtr="0" upright="1">
                          <a:noAutofit/>
                        </wps:bodyPr>
                      </wps:wsp>
                      <wps:wsp>
                        <wps:cNvPr id="30" name="Text Box 102"/>
                        <wps:cNvSpPr txBox="1">
                          <a:spLocks noChangeArrowheads="1"/>
                        </wps:cNvSpPr>
                        <wps:spPr bwMode="auto">
                          <a:xfrm>
                            <a:off x="3248" y="8216"/>
                            <a:ext cx="5593" cy="360"/>
                          </a:xfrm>
                          <a:prstGeom prst="rect">
                            <a:avLst/>
                          </a:prstGeom>
                          <a:solidFill>
                            <a:srgbClr val="FFFFFF"/>
                          </a:solidFill>
                          <a:ln w="9525">
                            <a:solidFill>
                              <a:srgbClr val="000000"/>
                            </a:solidFill>
                            <a:miter lim="800000"/>
                            <a:headEnd/>
                            <a:tailEnd/>
                          </a:ln>
                        </wps:spPr>
                        <wps:txbx>
                          <w:txbxContent>
                            <w:p w14:paraId="4A454F3F" w14:textId="77777777" w:rsidR="0076556E" w:rsidRPr="00195E86" w:rsidRDefault="0076556E" w:rsidP="004F743F">
                              <w:pPr>
                                <w:jc w:val="center"/>
                                <w:rPr>
                                  <w:b/>
                                </w:rPr>
                              </w:pPr>
                              <w:r w:rsidRPr="00195E86">
                                <w:rPr>
                                  <w:rFonts w:ascii="Arial" w:hAnsi="Arial"/>
                                  <w:b/>
                                  <w:sz w:val="18"/>
                                  <w:lang w:val="ro-RO"/>
                                </w:rPr>
                                <w:t>Métabolisme des pigments biliaires dans l'ictère mécanique</w:t>
                              </w:r>
                            </w:p>
                          </w:txbxContent>
                        </wps:txbx>
                        <wps:bodyPr rot="0" vert="horz" wrap="square" lIns="91440" tIns="45720" rIns="91440" bIns="45720" anchor="t" anchorCtr="0" upright="1">
                          <a:noAutofit/>
                        </wps:bodyPr>
                      </wps:wsp>
                      <wps:wsp>
                        <wps:cNvPr id="31" name="Line 103"/>
                        <wps:cNvCnPr>
                          <a:cxnSpLocks noChangeShapeType="1"/>
                        </wps:cNvCnPr>
                        <wps:spPr bwMode="auto">
                          <a:xfrm flipH="1">
                            <a:off x="5866" y="3575"/>
                            <a:ext cx="3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04"/>
                        <wps:cNvCnPr>
                          <a:cxnSpLocks noChangeShapeType="1"/>
                        </wps:cNvCnPr>
                        <wps:spPr bwMode="auto">
                          <a:xfrm>
                            <a:off x="3248" y="4408"/>
                            <a:ext cx="0" cy="3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B6A92" id="Group 85" o:spid="_x0000_s1063" style="position:absolute;left:0;text-align:left;margin-left:27.1pt;margin-top:12.2pt;width:391.05pt;height:341.7pt;z-index:251664384" coordorigin="3129,2861" coordsize="571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" o:allowincell="f">
                <v:line id="Line 86" o:spid="_x0000_s1064" style="position:absolute;visibility:visible;mso-wrap-style:square" from="7532,4289" to="753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87" o:spid="_x0000_s1065" style="position:absolute;visibility:visible;mso-wrap-style:square" from="7532,5836" to="7532,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88" o:spid="_x0000_s1066" style="position:absolute;visibility:visible;mso-wrap-style:square" from="4676,7264" to="467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89" o:spid="_x0000_s1067" style="position:absolute;visibility:visible;mso-wrap-style:square" from="4676,6669" to="4676,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90" o:spid="_x0000_s1068" style="position:absolute;visibility:visible;mso-wrap-style:square" from="4676,5836" to="4676,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91" o:spid="_x0000_s1069" style="position:absolute;visibility:visible;mso-wrap-style:square" from="4676,4289" to="4676,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2" o:spid="_x0000_s1070" style="position:absolute;flip:y;visibility:visible;mso-wrap-style:square" from="3465,4348" to="3466,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rect id="Rectangle 93" o:spid="_x0000_s1071" style="position:absolute;left:6223;top:2861;width:261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" strokeweight="1pt">
                  <v:textbox>
                    <w:txbxContent>
                      <w:p w14:paraId="0BAF0349" w14:textId="77777777" w:rsidR="0076556E" w:rsidRPr="00F821B0" w:rsidRDefault="0076556E" w:rsidP="00DC75CD">
                        <w:pPr>
                          <w:pStyle w:val="Titlu2"/>
                          <w:jc w:val="center"/>
                          <w:rPr>
                            <w:sz w:val="16"/>
                            <w:u w:val="single"/>
                          </w:rPr>
                        </w:pPr>
                        <w:r w:rsidRPr="00F821B0">
                          <w:rPr>
                            <w:sz w:val="16"/>
                            <w:u w:val="single"/>
                          </w:rPr>
                          <w:t>DANS LE SYSTÈME MACROPHAGIQUE</w:t>
                        </w:r>
                      </w:p>
                      <w:p w14:paraId="541DC76F" w14:textId="77777777"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lang w:val="ro-RO"/>
                          </w:rPr>
                          <w:t>À partir de l'hémoglobine, une quantité normale de bilirubine libre est synthétisée.</w:t>
                        </w:r>
                      </w:p>
                    </w:txbxContent>
                  </v:textbox>
                </v:rect>
                <v:rect id="Rectangle 94" o:spid="_x0000_s1072" style="position:absolute;left:3129;top:2861;width:273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" strokeweight="1pt">
                  <v:textbox>
                    <w:txbxContent>
                      <w:p w14:paraId="55244BF0" w14:textId="77777777" w:rsidR="0076556E" w:rsidRPr="00F821B0" w:rsidRDefault="0076556E" w:rsidP="004F743F">
                        <w:pPr>
                          <w:pStyle w:val="Titlu2"/>
                          <w:jc w:val="center"/>
                          <w:rPr>
                            <w:rFonts w:ascii="Arial" w:hAnsi="Arial"/>
                            <w:sz w:val="16"/>
                            <w:u w:val="single"/>
                          </w:rPr>
                        </w:pPr>
                        <w:r w:rsidRPr="00F821B0">
                          <w:rPr>
                            <w:rFonts w:ascii="Arial" w:hAnsi="Arial"/>
                            <w:sz w:val="16"/>
                            <w:u w:val="single"/>
                          </w:rPr>
                          <w:t>DANS LA CIRCULATION SANGUINE</w:t>
                        </w:r>
                      </w:p>
                      <w:p w14:paraId="6C821C3D" w14:textId="77777777" w:rsidR="0076556E" w:rsidRPr="00DC75CD"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DC75CD">
                          <w:rPr>
                            <w:b w:val="0"/>
                            <w:sz w:val="20"/>
                          </w:rPr>
                          <w:t>il y a une concentration normale de bilirubine libre et une concentration élevée de bilirubine conjuguée</w:t>
                        </w:r>
                      </w:p>
                    </w:txbxContent>
                  </v:textbox>
                </v:rect>
                <v:rect id="Rectangle 95" o:spid="_x0000_s1073" style="position:absolute;left:6223;top:4519;width:261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" strokeweight="1pt">
                  <v:textbox>
                    <w:txbxContent>
                      <w:p w14:paraId="5CD6B99F" w14:textId="77777777" w:rsidR="0076556E" w:rsidRPr="00DC75CD" w:rsidRDefault="0076556E" w:rsidP="004F743F">
                        <w:pPr>
                          <w:pStyle w:val="Titlu1"/>
                          <w:jc w:val="center"/>
                          <w:rPr>
                            <w:rFonts w:ascii="Arial" w:hAnsi="Arial"/>
                            <w:b/>
                            <w:sz w:val="18"/>
                            <w:szCs w:val="18"/>
                            <w:u w:val="single"/>
                          </w:rPr>
                        </w:pPr>
                        <w:r w:rsidRPr="00F821B0">
                          <w:rPr>
                            <w:rFonts w:ascii="Arial" w:hAnsi="Arial"/>
                            <w:b/>
                            <w:sz w:val="18"/>
                            <w:szCs w:val="18"/>
                            <w:u w:val="single"/>
                          </w:rPr>
                          <w:t xml:space="preserve">DANS </w:t>
                        </w:r>
                        <w:r w:rsidRPr="00DC75CD">
                          <w:rPr>
                            <w:rFonts w:ascii="Arial" w:hAnsi="Arial"/>
                            <w:b/>
                            <w:sz w:val="18"/>
                            <w:szCs w:val="18"/>
                            <w:u w:val="single"/>
                          </w:rPr>
                          <w:t>L'INTESTIN</w:t>
                        </w:r>
                        <w:r w:rsidRPr="00F821B0">
                          <w:rPr>
                            <w:rFonts w:ascii="Arial" w:hAnsi="Arial"/>
                            <w:b/>
                            <w:sz w:val="18"/>
                            <w:szCs w:val="18"/>
                            <w:u w:val="single"/>
                          </w:rPr>
                          <w:t xml:space="preserve"> GRÊLE</w:t>
                        </w:r>
                      </w:p>
                      <w:p w14:paraId="349BF4A9" w14:textId="77777777" w:rsidR="0076556E" w:rsidRDefault="0076556E" w:rsidP="004F743F">
                        <w:pPr>
                          <w:pStyle w:val="Titlu3"/>
                          <w:pBdr>
                            <w:top w:val="none" w:sz="0" w:space="0" w:color="auto"/>
                            <w:left w:val="none" w:sz="0" w:space="0" w:color="auto"/>
                            <w:bottom w:val="none" w:sz="0" w:space="0" w:color="auto"/>
                            <w:right w:val="none" w:sz="0" w:space="0" w:color="auto"/>
                          </w:pBdr>
                          <w:jc w:val="center"/>
                          <w:rPr>
                            <w:rFonts w:ascii="Arial" w:hAnsi="Arial"/>
                            <w:b w:val="0"/>
                            <w:sz w:val="16"/>
                          </w:rPr>
                        </w:pPr>
                        <w:r w:rsidRPr="00DC75CD">
                          <w:rPr>
                            <w:rFonts w:ascii="Arial" w:hAnsi="Arial"/>
                            <w:sz w:val="16"/>
                          </w:rPr>
                          <w:t xml:space="preserve">Acholie </w:t>
                        </w:r>
                      </w:p>
                      <w:p w14:paraId="5E05C073" w14:textId="77777777" w:rsidR="0076556E" w:rsidRPr="00DC75CD" w:rsidRDefault="0076556E" w:rsidP="00DC75CD">
                        <w:pPr>
                          <w:pStyle w:val="Titlu3"/>
                          <w:pBdr>
                            <w:top w:val="none" w:sz="0" w:space="0" w:color="auto"/>
                            <w:left w:val="none" w:sz="0" w:space="0" w:color="auto"/>
                            <w:bottom w:val="none" w:sz="0" w:space="0" w:color="auto"/>
                            <w:right w:val="none" w:sz="0" w:space="0" w:color="auto"/>
                          </w:pBdr>
                          <w:rPr>
                            <w:sz w:val="20"/>
                          </w:rPr>
                        </w:pPr>
                        <w:r w:rsidRPr="00DC75CD">
                          <w:rPr>
                            <w:b w:val="0"/>
                            <w:sz w:val="20"/>
                          </w:rPr>
                          <w:t xml:space="preserve">Il y a un manque de bile, la bilirubine conjuguée est </w:t>
                        </w:r>
                        <w:r>
                          <w:rPr>
                            <w:b w:val="0"/>
                            <w:sz w:val="20"/>
                          </w:rPr>
                          <w:t xml:space="preserve">également absente, donc l'urobilinogène ne peut pas </w:t>
                        </w:r>
                        <w:r w:rsidRPr="00DC75CD">
                          <w:rPr>
                            <w:b w:val="0"/>
                            <w:sz w:val="20"/>
                          </w:rPr>
                          <w:t>être formé.</w:t>
                        </w:r>
                      </w:p>
                    </w:txbxContent>
                  </v:textbox>
                </v:rect>
                <v:rect id="Rectangle 96" o:spid="_x0000_s1074" style="position:absolute;left:3605;top:4527;width:2261;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Pi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aAy/X9IPkIsfAAAA//8DAFBLAQItABQABgAIAAAAIQDb4fbL7gAAAIUBAAATAAAAAAAA&#10;AAAAAAAAAAAAAABbQ29udGVudF9UeXBlc10ueG1sUEsBAi0AFAAGAAgAAAAhAFr0LFu/AAAAFQEA&#10;AAsAAAAAAAAAAAAAAAAAHwEAAF9yZWxzLy5yZWxzUEsBAi0AFAAGAAgAAAAhALt0s+LHAAAA2wAA&#10;AA8AAAAAAAAAAAAAAAAABwIAAGRycy9kb3ducmV2LnhtbFBLBQYAAAAAAwADALcAAAD7AgAAAAA=&#10;" strokeweight="1pt">
                  <v:textbox>
                    <w:txbxContent>
                      <w:p w14:paraId="3E06797A" w14:textId="77777777" w:rsidR="0076556E" w:rsidRPr="00195E86" w:rsidRDefault="0076556E" w:rsidP="004F743F">
                        <w:pPr>
                          <w:pStyle w:val="Titlu2"/>
                          <w:jc w:val="center"/>
                          <w:rPr>
                            <w:rFonts w:ascii="Arial" w:hAnsi="Arial"/>
                            <w:sz w:val="18"/>
                            <w:u w:val="single"/>
                          </w:rPr>
                        </w:pPr>
                        <w:r w:rsidRPr="00195E86">
                          <w:rPr>
                            <w:rFonts w:ascii="Arial" w:hAnsi="Arial"/>
                            <w:sz w:val="18"/>
                            <w:u w:val="single"/>
                          </w:rPr>
                          <w:t>DANS LE FOIE</w:t>
                        </w:r>
                      </w:p>
                      <w:p w14:paraId="196F045B" w14:textId="77777777" w:rsidR="0076556E" w:rsidRPr="00DC75CD" w:rsidRDefault="0076556E" w:rsidP="004F743F">
                        <w:pPr>
                          <w:pStyle w:val="Titlu2"/>
                          <w:jc w:val="center"/>
                          <w:rPr>
                            <w:b w:val="0"/>
                            <w:sz w:val="20"/>
                          </w:rPr>
                        </w:pPr>
                        <w:r w:rsidRPr="00DC75CD">
                          <w:rPr>
                            <w:b w:val="0"/>
                            <w:sz w:val="20"/>
                          </w:rPr>
                          <w:t>La bilirubine libre est capturée et transformée en bilirubine conjuguée.</w:t>
                        </w:r>
                      </w:p>
                    </w:txbxContent>
                  </v:textbox>
                </v:rect>
                <v:line id="Line 97" o:spid="_x0000_s1075" style="position:absolute;visibility:visible;mso-wrap-style:square" from="5819,5881" to="5819,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98" o:spid="_x0000_s1076" style="position:absolute;left:6306;top:6085;width:249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" strokeweight="1pt">
                  <v:textbox>
                    <w:txbxContent>
                      <w:p w14:paraId="47B42E82" w14:textId="77777777" w:rsidR="0076556E" w:rsidRPr="00F821B0" w:rsidRDefault="0076556E" w:rsidP="00DC75CD">
                        <w:pPr>
                          <w:pStyle w:val="Titlu1"/>
                          <w:jc w:val="center"/>
                          <w:rPr>
                            <w:rFonts w:ascii="Arial" w:eastAsia="Calibri" w:hAnsi="Arial"/>
                            <w:b/>
                            <w:sz w:val="16"/>
                            <w:szCs w:val="22"/>
                            <w:u w:val="single"/>
                            <w:lang w:eastAsia="en-US"/>
                          </w:rPr>
                        </w:pPr>
                        <w:r>
                          <w:rPr>
                            <w:rFonts w:ascii="Arial" w:eastAsia="Calibri" w:hAnsi="Arial"/>
                            <w:b/>
                            <w:sz w:val="16"/>
                            <w:szCs w:val="22"/>
                            <w:u w:val="single"/>
                            <w:lang w:eastAsia="en-US"/>
                          </w:rPr>
                          <w:t>DANS LE GROS INTESTIN</w:t>
                        </w:r>
                      </w:p>
                      <w:p w14:paraId="66691481" w14:textId="77777777" w:rsidR="0076556E" w:rsidRPr="00DC75CD" w:rsidRDefault="0076556E" w:rsidP="00DC75CD">
                        <w:pPr>
                          <w:pStyle w:val="Titlu1"/>
                          <w:jc w:val="center"/>
                          <w:rPr>
                            <w:rFonts w:eastAsia="Calibri"/>
                            <w:sz w:val="20"/>
                            <w:lang w:eastAsia="en-US"/>
                          </w:rPr>
                        </w:pPr>
                        <w:r w:rsidRPr="00DC75CD">
                          <w:rPr>
                            <w:rFonts w:eastAsia="Calibri"/>
                            <w:sz w:val="20"/>
                            <w:lang w:eastAsia="en-US"/>
                          </w:rPr>
                          <w:t xml:space="preserve">Le stercobilinogène et la stercobiline </w:t>
                        </w:r>
                        <w:r>
                          <w:rPr>
                            <w:rFonts w:eastAsia="Calibri"/>
                            <w:sz w:val="20"/>
                            <w:lang w:eastAsia="en-US"/>
                          </w:rPr>
                          <w:t xml:space="preserve">sont </w:t>
                        </w:r>
                        <w:r w:rsidRPr="00DC75CD">
                          <w:rPr>
                            <w:rFonts w:eastAsia="Calibri"/>
                            <w:sz w:val="20"/>
                            <w:lang w:eastAsia="en-US"/>
                          </w:rPr>
                          <w:t>absents.</w:t>
                        </w:r>
                      </w:p>
                      <w:p w14:paraId="68448C8D" w14:textId="77777777" w:rsidR="0076556E" w:rsidRPr="00DC75CD" w:rsidRDefault="0076556E" w:rsidP="00DC75CD">
                        <w:pPr>
                          <w:pStyle w:val="Titlu1"/>
                          <w:jc w:val="center"/>
                          <w:rPr>
                            <w:sz w:val="20"/>
                            <w:lang w:val="it-IT"/>
                          </w:rPr>
                        </w:pPr>
                        <w:r w:rsidRPr="00DC75CD">
                          <w:rPr>
                            <w:sz w:val="20"/>
                          </w:rPr>
                          <w:t>Les selles sont décolorées et grasses (stéatorrhée).</w:t>
                        </w:r>
                      </w:p>
                    </w:txbxContent>
                  </v:textbox>
                </v:rect>
                <v:shape id="Text Box 99" o:spid="_x0000_s1077" type="#_x0000_t202" style="position:absolute;left:3367;top:6106;width:250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" strokeweight="1pt">
                  <v:textbox>
                    <w:txbxContent>
                      <w:p w14:paraId="7172347A" w14:textId="77777777"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rPr>
                          <w:t>Cholestase sévère</w:t>
                        </w:r>
                      </w:p>
                    </w:txbxContent>
                  </v:textbox>
                </v:shape>
                <v:shape id="Text Box 100" o:spid="_x0000_s1078" type="#_x0000_t202" style="position:absolute;left:3369;top:6920;width:249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" strokeweight="1pt">
                  <v:textbox>
                    <w:txbxContent>
                      <w:p w14:paraId="499E9E07" w14:textId="77777777" w:rsidR="0076556E" w:rsidRDefault="0076556E" w:rsidP="004F743F">
                        <w:pPr>
                          <w:jc w:val="center"/>
                          <w:rPr>
                            <w:rFonts w:ascii="Arial" w:hAnsi="Arial"/>
                            <w:sz w:val="16"/>
                            <w:lang w:val="ro-RO"/>
                          </w:rPr>
                        </w:pPr>
                        <w:r>
                          <w:rPr>
                            <w:rFonts w:ascii="Arial" w:hAnsi="Arial"/>
                            <w:sz w:val="16"/>
                          </w:rPr>
                          <w:t>Cholémie prononcée</w:t>
                        </w:r>
                      </w:p>
                    </w:txbxContent>
                  </v:textbox>
                </v:shape>
                <v:shape id="Text Box 101" o:spid="_x0000_s1079" type="#_x0000_t202" style="position:absolute;left:3216;top:7539;width:261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" strokeweight="1pt">
                  <v:textbox>
                    <w:txbxContent>
                      <w:p w14:paraId="4C75DB00" w14:textId="77777777" w:rsidR="0076556E" w:rsidRPr="004A01DB" w:rsidRDefault="0076556E" w:rsidP="004F743F">
                        <w:pPr>
                          <w:jc w:val="center"/>
                          <w:rPr>
                            <w:rFonts w:ascii="Times New Roman" w:hAnsi="Times New Roman" w:cs="Times New Roman"/>
                            <w:sz w:val="20"/>
                            <w:szCs w:val="20"/>
                            <w:lang w:val="ro-RO"/>
                          </w:rPr>
                        </w:pPr>
                        <w:r w:rsidRPr="004A01DB">
                          <w:rPr>
                            <w:rFonts w:ascii="Times New Roman" w:hAnsi="Times New Roman" w:cs="Times New Roman"/>
                            <w:sz w:val="20"/>
                            <w:szCs w:val="20"/>
                          </w:rPr>
                          <w:t>Dans l'urine, bilirubinurie prononcée, cholalurie (urine foncée)</w:t>
                        </w:r>
                      </w:p>
                    </w:txbxContent>
                  </v:textbox>
                </v:shape>
                <v:shape id="Text Box 102" o:spid="_x0000_s1080" type="#_x0000_t202" style="position:absolute;left:3248;top:8216;width:55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4A454F3F" w14:textId="77777777" w:rsidR="0076556E" w:rsidRPr="00195E86" w:rsidRDefault="0076556E" w:rsidP="004F743F">
                        <w:pPr>
                          <w:jc w:val="center"/>
                          <w:rPr>
                            <w:b/>
                          </w:rPr>
                        </w:pPr>
                        <w:r w:rsidRPr="00195E86">
                          <w:rPr>
                            <w:rFonts w:ascii="Arial" w:hAnsi="Arial"/>
                            <w:b/>
                            <w:sz w:val="18"/>
                            <w:lang w:val="ro-RO"/>
                          </w:rPr>
                          <w:t>Métabolisme des pigments biliaires dans l'ictère mécanique</w:t>
                        </w:r>
                      </w:p>
                    </w:txbxContent>
                  </v:textbox>
                </v:shape>
                <v:line id="Line 103" o:spid="_x0000_s1081" style="position:absolute;flip:x;visibility:visible;mso-wrap-style:square" from="5866,3575" to="6223,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104" o:spid="_x0000_s1082" style="position:absolute;visibility:visible;mso-wrap-style:square" from="3248,4408" to="32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group>
            </w:pict>
          </mc:Fallback>
        </mc:AlternateContent>
      </w:r>
    </w:p>
    <w:p w14:paraId="335AA212"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7085406"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558C2898"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CFE34D1"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F3D41D1"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C12CD90"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864D099"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EA35BC3"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5C045467"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D26EA55"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48F87C78"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FCBED45"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4D5A5C90" w14:textId="77777777"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1E9DDAC1" w14:textId="77777777" w:rsidR="00F608A2" w:rsidRPr="005D364D"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8DDDACF"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621FEF9E"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7E3877FB"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575FD47D"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1267A671"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D68E729"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2C78ECE2" w14:textId="77777777"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14:paraId="36245D8A" w14:textId="77777777" w:rsidR="00B0119B" w:rsidRPr="005D364D" w:rsidRDefault="00B0119B" w:rsidP="00CA089D">
      <w:pPr>
        <w:autoSpaceDE w:val="0"/>
        <w:autoSpaceDN w:val="0"/>
        <w:adjustRightInd w:val="0"/>
        <w:spacing w:after="0" w:line="240" w:lineRule="auto"/>
        <w:ind w:firstLine="720"/>
        <w:jc w:val="both"/>
        <w:rPr>
          <w:rFonts w:ascii="Times New Roman" w:hAnsi="Times New Roman" w:cs="Times New Roman"/>
          <w:color w:val="C00000"/>
          <w:sz w:val="24"/>
          <w:szCs w:val="24"/>
        </w:rPr>
      </w:pPr>
    </w:p>
    <w:sectPr w:rsidR="00B0119B" w:rsidRPr="005D364D" w:rsidSect="00AA6783">
      <w:pgSz w:w="12240" w:h="15840"/>
      <w:pgMar w:top="1008" w:right="720" w:bottom="1008"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7448F" w14:textId="77777777" w:rsidR="00720114" w:rsidRDefault="00720114" w:rsidP="00784E4C">
      <w:pPr>
        <w:spacing w:after="0" w:line="240" w:lineRule="auto"/>
      </w:pPr>
      <w:r>
        <w:separator/>
      </w:r>
    </w:p>
  </w:endnote>
  <w:endnote w:type="continuationSeparator" w:id="0">
    <w:p w14:paraId="1EAF4E8A" w14:textId="77777777" w:rsidR="00720114" w:rsidRDefault="00720114" w:rsidP="00784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StoneSerif-Italic">
    <w:altName w:val="Times New Roman"/>
    <w:panose1 w:val="00000000000000000000"/>
    <w:charset w:val="00"/>
    <w:family w:val="roman"/>
    <w:notTrueType/>
    <w:pitch w:val="default"/>
    <w:sig w:usb0="00000003" w:usb1="00000000" w:usb2="00000000" w:usb3="00000000" w:csb0="00000001" w:csb1="00000000"/>
  </w:font>
  <w:font w:name="Arial,Bold">
    <w:altName w:val="MS Mincho"/>
    <w:panose1 w:val="00000000000000000000"/>
    <w:charset w:val="80"/>
    <w:family w:val="auto"/>
    <w:notTrueType/>
    <w:pitch w:val="default"/>
    <w:sig w:usb0="00000000" w:usb1="08070000" w:usb2="00000010" w:usb3="00000000" w:csb0="00020000" w:csb1="00000000"/>
  </w:font>
  <w:font w:name="SymbolNew-Medium">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4F72" w14:textId="77777777" w:rsidR="00720114" w:rsidRDefault="00720114" w:rsidP="00784E4C">
      <w:pPr>
        <w:spacing w:after="0" w:line="240" w:lineRule="auto"/>
      </w:pPr>
      <w:r>
        <w:separator/>
      </w:r>
    </w:p>
  </w:footnote>
  <w:footnote w:type="continuationSeparator" w:id="0">
    <w:p w14:paraId="3314EBD3" w14:textId="77777777" w:rsidR="00720114" w:rsidRDefault="00720114" w:rsidP="00784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92F0F"/>
    <w:multiLevelType w:val="hybridMultilevel"/>
    <w:tmpl w:val="8804ABB8"/>
    <w:lvl w:ilvl="0" w:tplc="21E83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616F20"/>
    <w:multiLevelType w:val="hybridMultilevel"/>
    <w:tmpl w:val="E1C00B7E"/>
    <w:lvl w:ilvl="0" w:tplc="22A440C2">
      <w:numFmt w:val="bullet"/>
      <w:lvlText w:val="–"/>
      <w:lvlJc w:val="left"/>
      <w:pPr>
        <w:ind w:left="960" w:hanging="360"/>
      </w:pPr>
      <w:rPr>
        <w:rFonts w:ascii="Times New Roman" w:eastAsiaTheme="minorHAnsi" w:hAnsi="Times New Roman" w:cs="Times New Roman" w:hint="default"/>
        <w:b w:val="0"/>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634E66B7"/>
    <w:multiLevelType w:val="hybridMultilevel"/>
    <w:tmpl w:val="64988054"/>
    <w:lvl w:ilvl="0" w:tplc="B6CC1DBE">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6614562A"/>
    <w:multiLevelType w:val="hybridMultilevel"/>
    <w:tmpl w:val="86A63848"/>
    <w:lvl w:ilvl="0" w:tplc="D1D091BC">
      <w:numFmt w:val="bullet"/>
      <w:lvlText w:val="-"/>
      <w:lvlJc w:val="left"/>
      <w:pPr>
        <w:ind w:left="1125" w:hanging="360"/>
      </w:pPr>
      <w:rPr>
        <w:rFonts w:ascii="Arial" w:eastAsiaTheme="minorHAnsi" w:hAnsi="Arial" w:cs="Aria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15"/>
    <w:rsid w:val="00000145"/>
    <w:rsid w:val="0000053A"/>
    <w:rsid w:val="000041A2"/>
    <w:rsid w:val="00010062"/>
    <w:rsid w:val="00031615"/>
    <w:rsid w:val="00051B5F"/>
    <w:rsid w:val="000A47EC"/>
    <w:rsid w:val="000B4F48"/>
    <w:rsid w:val="000D52D7"/>
    <w:rsid w:val="000D6D6E"/>
    <w:rsid w:val="000F6E7F"/>
    <w:rsid w:val="001158CD"/>
    <w:rsid w:val="001216B7"/>
    <w:rsid w:val="001239E8"/>
    <w:rsid w:val="00123BC1"/>
    <w:rsid w:val="001279ED"/>
    <w:rsid w:val="00137FB6"/>
    <w:rsid w:val="00147DDA"/>
    <w:rsid w:val="00172D5C"/>
    <w:rsid w:val="001733AE"/>
    <w:rsid w:val="001839BD"/>
    <w:rsid w:val="001851B7"/>
    <w:rsid w:val="00193AA0"/>
    <w:rsid w:val="001B6F56"/>
    <w:rsid w:val="001C75FD"/>
    <w:rsid w:val="001E205B"/>
    <w:rsid w:val="001F1C73"/>
    <w:rsid w:val="001F1CA8"/>
    <w:rsid w:val="001F3243"/>
    <w:rsid w:val="00206A07"/>
    <w:rsid w:val="00207109"/>
    <w:rsid w:val="002321FB"/>
    <w:rsid w:val="00244FF7"/>
    <w:rsid w:val="00250FCA"/>
    <w:rsid w:val="002535B0"/>
    <w:rsid w:val="00262D1D"/>
    <w:rsid w:val="002814DD"/>
    <w:rsid w:val="0028522A"/>
    <w:rsid w:val="00290588"/>
    <w:rsid w:val="002B4116"/>
    <w:rsid w:val="002B5D92"/>
    <w:rsid w:val="002C59CC"/>
    <w:rsid w:val="002E6459"/>
    <w:rsid w:val="002F45B8"/>
    <w:rsid w:val="0030381E"/>
    <w:rsid w:val="0031111B"/>
    <w:rsid w:val="00313E61"/>
    <w:rsid w:val="003145D2"/>
    <w:rsid w:val="00335419"/>
    <w:rsid w:val="00335AB4"/>
    <w:rsid w:val="003367D7"/>
    <w:rsid w:val="003542B5"/>
    <w:rsid w:val="00375E0E"/>
    <w:rsid w:val="00381DA1"/>
    <w:rsid w:val="003909FF"/>
    <w:rsid w:val="00390C30"/>
    <w:rsid w:val="00392592"/>
    <w:rsid w:val="00393B6D"/>
    <w:rsid w:val="00397B2E"/>
    <w:rsid w:val="003B7656"/>
    <w:rsid w:val="003D6121"/>
    <w:rsid w:val="003F3F67"/>
    <w:rsid w:val="00425C12"/>
    <w:rsid w:val="004263DE"/>
    <w:rsid w:val="0042645B"/>
    <w:rsid w:val="004327EF"/>
    <w:rsid w:val="00452312"/>
    <w:rsid w:val="00457BBC"/>
    <w:rsid w:val="00472161"/>
    <w:rsid w:val="004725C9"/>
    <w:rsid w:val="00473D84"/>
    <w:rsid w:val="00480E27"/>
    <w:rsid w:val="00484FB0"/>
    <w:rsid w:val="00496C4F"/>
    <w:rsid w:val="00497309"/>
    <w:rsid w:val="004A01DB"/>
    <w:rsid w:val="004B419A"/>
    <w:rsid w:val="004B4D7F"/>
    <w:rsid w:val="004E687B"/>
    <w:rsid w:val="004F610D"/>
    <w:rsid w:val="004F743F"/>
    <w:rsid w:val="0050436A"/>
    <w:rsid w:val="00517080"/>
    <w:rsid w:val="00527F43"/>
    <w:rsid w:val="005344D2"/>
    <w:rsid w:val="00540A2E"/>
    <w:rsid w:val="00543FE2"/>
    <w:rsid w:val="00550661"/>
    <w:rsid w:val="00554AFA"/>
    <w:rsid w:val="00555D38"/>
    <w:rsid w:val="005949BC"/>
    <w:rsid w:val="00596960"/>
    <w:rsid w:val="005A2C25"/>
    <w:rsid w:val="005C43C0"/>
    <w:rsid w:val="005C6CC6"/>
    <w:rsid w:val="005C6DA0"/>
    <w:rsid w:val="005D364D"/>
    <w:rsid w:val="005E17DA"/>
    <w:rsid w:val="005E2426"/>
    <w:rsid w:val="005E4505"/>
    <w:rsid w:val="005E55E6"/>
    <w:rsid w:val="006028AC"/>
    <w:rsid w:val="00627D68"/>
    <w:rsid w:val="006372DA"/>
    <w:rsid w:val="00645B9E"/>
    <w:rsid w:val="00660E93"/>
    <w:rsid w:val="00661C31"/>
    <w:rsid w:val="0067084F"/>
    <w:rsid w:val="006763CC"/>
    <w:rsid w:val="0068670F"/>
    <w:rsid w:val="006924DB"/>
    <w:rsid w:val="006A0374"/>
    <w:rsid w:val="006A1FBA"/>
    <w:rsid w:val="006A2335"/>
    <w:rsid w:val="006A6E25"/>
    <w:rsid w:val="006B49F1"/>
    <w:rsid w:val="006C0094"/>
    <w:rsid w:val="006D451D"/>
    <w:rsid w:val="006E4F69"/>
    <w:rsid w:val="006F0E11"/>
    <w:rsid w:val="006F37B7"/>
    <w:rsid w:val="007110CC"/>
    <w:rsid w:val="00711877"/>
    <w:rsid w:val="00717439"/>
    <w:rsid w:val="00720114"/>
    <w:rsid w:val="00727C42"/>
    <w:rsid w:val="00732DFC"/>
    <w:rsid w:val="0073392F"/>
    <w:rsid w:val="007372CE"/>
    <w:rsid w:val="00743624"/>
    <w:rsid w:val="0076556E"/>
    <w:rsid w:val="00784E4C"/>
    <w:rsid w:val="007A5A6E"/>
    <w:rsid w:val="007A693A"/>
    <w:rsid w:val="007B076F"/>
    <w:rsid w:val="007B5886"/>
    <w:rsid w:val="007B6495"/>
    <w:rsid w:val="007C6CE9"/>
    <w:rsid w:val="007D4615"/>
    <w:rsid w:val="007E6CD0"/>
    <w:rsid w:val="007F3A0A"/>
    <w:rsid w:val="008050D2"/>
    <w:rsid w:val="00816EAC"/>
    <w:rsid w:val="008542B9"/>
    <w:rsid w:val="00855283"/>
    <w:rsid w:val="00855866"/>
    <w:rsid w:val="008853C3"/>
    <w:rsid w:val="00891FE4"/>
    <w:rsid w:val="008B45C6"/>
    <w:rsid w:val="008C5B9C"/>
    <w:rsid w:val="008D1A59"/>
    <w:rsid w:val="008D20FF"/>
    <w:rsid w:val="008D42EF"/>
    <w:rsid w:val="008F094F"/>
    <w:rsid w:val="009048E4"/>
    <w:rsid w:val="00915CAA"/>
    <w:rsid w:val="00920E9A"/>
    <w:rsid w:val="0093454E"/>
    <w:rsid w:val="00950097"/>
    <w:rsid w:val="009640C5"/>
    <w:rsid w:val="00966016"/>
    <w:rsid w:val="0096774F"/>
    <w:rsid w:val="00970D33"/>
    <w:rsid w:val="00975A9B"/>
    <w:rsid w:val="009852E9"/>
    <w:rsid w:val="00990986"/>
    <w:rsid w:val="009A074B"/>
    <w:rsid w:val="009A509A"/>
    <w:rsid w:val="009C60A7"/>
    <w:rsid w:val="009D3BBD"/>
    <w:rsid w:val="009D71AD"/>
    <w:rsid w:val="00A03A15"/>
    <w:rsid w:val="00A1049C"/>
    <w:rsid w:val="00A23B27"/>
    <w:rsid w:val="00A26391"/>
    <w:rsid w:val="00A73A7B"/>
    <w:rsid w:val="00A772C5"/>
    <w:rsid w:val="00A819F2"/>
    <w:rsid w:val="00AA5CD1"/>
    <w:rsid w:val="00AA6783"/>
    <w:rsid w:val="00AE5000"/>
    <w:rsid w:val="00AF132F"/>
    <w:rsid w:val="00AF4623"/>
    <w:rsid w:val="00B0119B"/>
    <w:rsid w:val="00B01880"/>
    <w:rsid w:val="00B32F1B"/>
    <w:rsid w:val="00B8266E"/>
    <w:rsid w:val="00B843A2"/>
    <w:rsid w:val="00BA0C78"/>
    <w:rsid w:val="00BA4BB7"/>
    <w:rsid w:val="00BA5FE1"/>
    <w:rsid w:val="00BA617C"/>
    <w:rsid w:val="00BB73FE"/>
    <w:rsid w:val="00BC36AC"/>
    <w:rsid w:val="00BE7463"/>
    <w:rsid w:val="00BE7471"/>
    <w:rsid w:val="00BF543B"/>
    <w:rsid w:val="00C0695C"/>
    <w:rsid w:val="00C35757"/>
    <w:rsid w:val="00C4133C"/>
    <w:rsid w:val="00C46DE9"/>
    <w:rsid w:val="00C60312"/>
    <w:rsid w:val="00C71CE1"/>
    <w:rsid w:val="00C82578"/>
    <w:rsid w:val="00CA089D"/>
    <w:rsid w:val="00CC21A3"/>
    <w:rsid w:val="00CC5959"/>
    <w:rsid w:val="00CD7853"/>
    <w:rsid w:val="00CE7796"/>
    <w:rsid w:val="00CF1A8F"/>
    <w:rsid w:val="00D00BD6"/>
    <w:rsid w:val="00D06017"/>
    <w:rsid w:val="00D50B9E"/>
    <w:rsid w:val="00D526F8"/>
    <w:rsid w:val="00D954E6"/>
    <w:rsid w:val="00DA030F"/>
    <w:rsid w:val="00DA7D84"/>
    <w:rsid w:val="00DB5B97"/>
    <w:rsid w:val="00DC75CD"/>
    <w:rsid w:val="00DC7749"/>
    <w:rsid w:val="00E144E9"/>
    <w:rsid w:val="00E1611F"/>
    <w:rsid w:val="00E276D1"/>
    <w:rsid w:val="00E32899"/>
    <w:rsid w:val="00EA0260"/>
    <w:rsid w:val="00EC782C"/>
    <w:rsid w:val="00EE7B24"/>
    <w:rsid w:val="00F07BDA"/>
    <w:rsid w:val="00F22059"/>
    <w:rsid w:val="00F337AB"/>
    <w:rsid w:val="00F352A8"/>
    <w:rsid w:val="00F35952"/>
    <w:rsid w:val="00F3791F"/>
    <w:rsid w:val="00F422C5"/>
    <w:rsid w:val="00F43727"/>
    <w:rsid w:val="00F4632A"/>
    <w:rsid w:val="00F608A2"/>
    <w:rsid w:val="00F7403C"/>
    <w:rsid w:val="00F95076"/>
    <w:rsid w:val="00F96697"/>
    <w:rsid w:val="00FB5846"/>
    <w:rsid w:val="00FC0411"/>
    <w:rsid w:val="00FE2114"/>
    <w:rsid w:val="00FE3CB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7B012"/>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062"/>
  </w:style>
  <w:style w:type="paragraph" w:styleId="Titlu1">
    <w:name w:val="heading 1"/>
    <w:basedOn w:val="Normal"/>
    <w:next w:val="Normal"/>
    <w:link w:val="Titlu1Caracter"/>
    <w:qFormat/>
    <w:rsid w:val="0028522A"/>
    <w:pPr>
      <w:keepNext/>
      <w:spacing w:after="0" w:line="240" w:lineRule="auto"/>
      <w:jc w:val="both"/>
      <w:outlineLvl w:val="0"/>
    </w:pPr>
    <w:rPr>
      <w:rFonts w:ascii="Times New Roman" w:eastAsia="Times New Roman" w:hAnsi="Times New Roman" w:cs="Times New Roman"/>
      <w:sz w:val="24"/>
      <w:szCs w:val="20"/>
      <w:lang w:val="ro-RO" w:eastAsia="ru-RU"/>
    </w:rPr>
  </w:style>
  <w:style w:type="paragraph" w:styleId="Titlu2">
    <w:name w:val="heading 2"/>
    <w:basedOn w:val="Normal"/>
    <w:next w:val="Normal"/>
    <w:link w:val="Titlu2Caracter"/>
    <w:qFormat/>
    <w:rsid w:val="004F743F"/>
    <w:pPr>
      <w:keepNext/>
      <w:spacing w:after="0" w:line="240" w:lineRule="auto"/>
      <w:jc w:val="both"/>
      <w:outlineLvl w:val="1"/>
    </w:pPr>
    <w:rPr>
      <w:rFonts w:ascii="Times New Roman" w:eastAsia="Times New Roman" w:hAnsi="Times New Roman" w:cs="Times New Roman"/>
      <w:b/>
      <w:sz w:val="28"/>
      <w:szCs w:val="20"/>
      <w:lang w:val="ro-RO" w:eastAsia="ru-RU"/>
    </w:rPr>
  </w:style>
  <w:style w:type="paragraph" w:styleId="Titlu3">
    <w:name w:val="heading 3"/>
    <w:basedOn w:val="Normal"/>
    <w:next w:val="Normal"/>
    <w:link w:val="Titlu3Caracter"/>
    <w:qFormat/>
    <w:rsid w:val="004F743F"/>
    <w:pPr>
      <w:keepNext/>
      <w:pBdr>
        <w:top w:val="single" w:sz="4" w:space="1" w:color="auto"/>
        <w:left w:val="single" w:sz="4" w:space="4" w:color="auto"/>
        <w:bottom w:val="single" w:sz="4" w:space="1" w:color="auto"/>
        <w:right w:val="single" w:sz="4" w:space="4" w:color="auto"/>
      </w:pBdr>
      <w:spacing w:after="0" w:line="240" w:lineRule="auto"/>
      <w:jc w:val="both"/>
      <w:outlineLvl w:val="2"/>
    </w:pPr>
    <w:rPr>
      <w:rFonts w:ascii="Times New Roman" w:eastAsia="Times New Roman" w:hAnsi="Times New Roman" w:cs="Times New Roman"/>
      <w:b/>
      <w:sz w:val="28"/>
      <w:szCs w:val="20"/>
      <w:lang w:val="ro-RO" w:eastAsia="ru-RU"/>
    </w:rPr>
  </w:style>
  <w:style w:type="paragraph" w:styleId="Titlu4">
    <w:name w:val="heading 4"/>
    <w:basedOn w:val="Normal"/>
    <w:next w:val="Normal"/>
    <w:link w:val="Titlu4Caracter"/>
    <w:qFormat/>
    <w:rsid w:val="004F743F"/>
    <w:pPr>
      <w:keepNext/>
      <w:spacing w:after="0" w:line="240" w:lineRule="auto"/>
      <w:jc w:val="both"/>
      <w:outlineLvl w:val="3"/>
    </w:pPr>
    <w:rPr>
      <w:rFonts w:ascii="Times New Roman" w:eastAsia="Times New Roman" w:hAnsi="Times New Roman" w:cs="Times New Roman"/>
      <w:sz w:val="28"/>
      <w:szCs w:val="20"/>
      <w:lang w:val="ro-RO" w:eastAsia="ru-RU"/>
    </w:rPr>
  </w:style>
  <w:style w:type="paragraph" w:styleId="Titlu5">
    <w:name w:val="heading 5"/>
    <w:basedOn w:val="Normal"/>
    <w:next w:val="Normal"/>
    <w:link w:val="Titlu5Caracter"/>
    <w:uiPriority w:val="9"/>
    <w:semiHidden/>
    <w:unhideWhenUsed/>
    <w:qFormat/>
    <w:rsid w:val="005D36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1733A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733AE"/>
    <w:rPr>
      <w:rFonts w:ascii="Tahoma" w:hAnsi="Tahoma" w:cs="Tahoma"/>
      <w:sz w:val="16"/>
      <w:szCs w:val="16"/>
    </w:rPr>
  </w:style>
  <w:style w:type="paragraph" w:styleId="Antet">
    <w:name w:val="header"/>
    <w:basedOn w:val="Normal"/>
    <w:link w:val="AntetCaracter"/>
    <w:uiPriority w:val="99"/>
    <w:unhideWhenUsed/>
    <w:rsid w:val="00784E4C"/>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784E4C"/>
  </w:style>
  <w:style w:type="paragraph" w:styleId="Subsol">
    <w:name w:val="footer"/>
    <w:basedOn w:val="Normal"/>
    <w:link w:val="SubsolCaracter"/>
    <w:uiPriority w:val="99"/>
    <w:unhideWhenUsed/>
    <w:rsid w:val="00784E4C"/>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784E4C"/>
  </w:style>
  <w:style w:type="paragraph" w:styleId="Listparagraf">
    <w:name w:val="List Paragraph"/>
    <w:basedOn w:val="Normal"/>
    <w:uiPriority w:val="34"/>
    <w:qFormat/>
    <w:rsid w:val="00F337AB"/>
    <w:pPr>
      <w:ind w:left="720"/>
      <w:contextualSpacing/>
    </w:pPr>
  </w:style>
  <w:style w:type="character" w:customStyle="1" w:styleId="Titlu1Caracter">
    <w:name w:val="Titlu 1 Caracter"/>
    <w:basedOn w:val="Fontdeparagrafimplicit"/>
    <w:link w:val="Titlu1"/>
    <w:rsid w:val="0028522A"/>
    <w:rPr>
      <w:rFonts w:ascii="Times New Roman" w:eastAsia="Times New Roman" w:hAnsi="Times New Roman" w:cs="Times New Roman"/>
      <w:sz w:val="24"/>
      <w:szCs w:val="20"/>
      <w:lang w:val="ro-RO" w:eastAsia="ru-RU"/>
    </w:rPr>
  </w:style>
  <w:style w:type="character" w:customStyle="1" w:styleId="Titlu5Caracter">
    <w:name w:val="Titlu 5 Caracter"/>
    <w:basedOn w:val="Fontdeparagrafimplicit"/>
    <w:link w:val="Titlu5"/>
    <w:uiPriority w:val="9"/>
    <w:semiHidden/>
    <w:rsid w:val="005D364D"/>
    <w:rPr>
      <w:rFonts w:asciiTheme="majorHAnsi" w:eastAsiaTheme="majorEastAsia" w:hAnsiTheme="majorHAnsi" w:cstheme="majorBidi"/>
      <w:color w:val="243F60" w:themeColor="accent1" w:themeShade="7F"/>
    </w:rPr>
  </w:style>
  <w:style w:type="paragraph" w:styleId="Corptext3">
    <w:name w:val="Body Text 3"/>
    <w:basedOn w:val="Normal"/>
    <w:link w:val="Corptext3Caracter"/>
    <w:rsid w:val="005D364D"/>
    <w:pPr>
      <w:spacing w:after="0" w:line="240" w:lineRule="auto"/>
      <w:jc w:val="both"/>
    </w:pPr>
    <w:rPr>
      <w:rFonts w:ascii="Times New Roman" w:eastAsia="Times New Roman" w:hAnsi="Times New Roman" w:cs="Times New Roman"/>
      <w:sz w:val="24"/>
      <w:szCs w:val="20"/>
      <w:lang w:val="ro-RO" w:eastAsia="ru-RU"/>
    </w:rPr>
  </w:style>
  <w:style w:type="character" w:customStyle="1" w:styleId="Corptext3Caracter">
    <w:name w:val="Corp text 3 Caracter"/>
    <w:basedOn w:val="Fontdeparagrafimplicit"/>
    <w:link w:val="Corptext3"/>
    <w:rsid w:val="005D364D"/>
    <w:rPr>
      <w:rFonts w:ascii="Times New Roman" w:eastAsia="Times New Roman" w:hAnsi="Times New Roman" w:cs="Times New Roman"/>
      <w:sz w:val="24"/>
      <w:szCs w:val="20"/>
      <w:lang w:val="ro-RO" w:eastAsia="ru-RU"/>
    </w:rPr>
  </w:style>
  <w:style w:type="paragraph" w:customStyle="1" w:styleId="a">
    <w:name w:val="Стиль"/>
    <w:rsid w:val="005D364D"/>
    <w:pPr>
      <w:spacing w:after="0" w:line="240" w:lineRule="auto"/>
    </w:pPr>
    <w:rPr>
      <w:rFonts w:ascii="Times New Roman" w:eastAsia="Times New Roman" w:hAnsi="Times New Roman" w:cs="Times New Roman"/>
      <w:sz w:val="20"/>
      <w:szCs w:val="20"/>
      <w:lang w:val="ru-RU" w:eastAsia="ru-RU"/>
    </w:rPr>
  </w:style>
  <w:style w:type="table" w:styleId="Tabelgril">
    <w:name w:val="Table Grid"/>
    <w:basedOn w:val="TabelNormal"/>
    <w:uiPriority w:val="59"/>
    <w:rsid w:val="005D36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u2Caracter">
    <w:name w:val="Titlu 2 Caracter"/>
    <w:basedOn w:val="Fontdeparagrafimplicit"/>
    <w:link w:val="Titlu2"/>
    <w:rsid w:val="004F743F"/>
    <w:rPr>
      <w:rFonts w:ascii="Times New Roman" w:eastAsia="Times New Roman" w:hAnsi="Times New Roman" w:cs="Times New Roman"/>
      <w:b/>
      <w:sz w:val="28"/>
      <w:szCs w:val="20"/>
      <w:lang w:val="ro-RO" w:eastAsia="ru-RU"/>
    </w:rPr>
  </w:style>
  <w:style w:type="character" w:customStyle="1" w:styleId="Titlu3Caracter">
    <w:name w:val="Titlu 3 Caracter"/>
    <w:basedOn w:val="Fontdeparagrafimplicit"/>
    <w:link w:val="Titlu3"/>
    <w:rsid w:val="004F743F"/>
    <w:rPr>
      <w:rFonts w:ascii="Times New Roman" w:eastAsia="Times New Roman" w:hAnsi="Times New Roman" w:cs="Times New Roman"/>
      <w:b/>
      <w:sz w:val="28"/>
      <w:szCs w:val="20"/>
      <w:lang w:val="ro-RO" w:eastAsia="ru-RU"/>
    </w:rPr>
  </w:style>
  <w:style w:type="character" w:customStyle="1" w:styleId="Titlu4Caracter">
    <w:name w:val="Titlu 4 Caracter"/>
    <w:basedOn w:val="Fontdeparagrafimplicit"/>
    <w:link w:val="Titlu4"/>
    <w:rsid w:val="004F743F"/>
    <w:rPr>
      <w:rFonts w:ascii="Times New Roman" w:eastAsia="Times New Roman" w:hAnsi="Times New Roman" w:cs="Times New Roman"/>
      <w:sz w:val="28"/>
      <w:szCs w:val="20"/>
      <w:lang w:val="ro-RO" w:eastAsia="ru-RU"/>
    </w:rPr>
  </w:style>
  <w:style w:type="paragraph" w:styleId="Corptext">
    <w:name w:val="Body Text"/>
    <w:basedOn w:val="Normal"/>
    <w:link w:val="CorptextCaracter"/>
    <w:rsid w:val="004F743F"/>
    <w:pPr>
      <w:spacing w:after="0" w:line="240" w:lineRule="auto"/>
    </w:pPr>
    <w:rPr>
      <w:rFonts w:ascii="Times New Roman" w:eastAsia="Times New Roman" w:hAnsi="Times New Roman" w:cs="Times New Roman"/>
      <w:b/>
      <w:sz w:val="20"/>
      <w:szCs w:val="20"/>
      <w:lang w:eastAsia="ru-RU"/>
    </w:rPr>
  </w:style>
  <w:style w:type="character" w:customStyle="1" w:styleId="CorptextCaracter">
    <w:name w:val="Corp text Caracter"/>
    <w:basedOn w:val="Fontdeparagrafimplicit"/>
    <w:link w:val="Corptext"/>
    <w:rsid w:val="004F743F"/>
    <w:rPr>
      <w:rFonts w:ascii="Times New Roman" w:eastAsia="Times New Roman" w:hAnsi="Times New Roman" w:cs="Times New Roman"/>
      <w: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9149B9-EB90-43A7-BCCE-AC238F3C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24317</Words>
  <Characters>141045</Characters>
  <Application>Microsoft Office Word</Application>
  <DocSecurity>0</DocSecurity>
  <Lines>1175</Lines>
  <Paragraphs>330</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165032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docId:32A171F3377FD6431C06BAE3DE6B179A</cp:keywords>
  <dc:description/>
  <cp:lastModifiedBy>User</cp:lastModifiedBy>
  <cp:revision>2</cp:revision>
  <dcterms:created xsi:type="dcterms:W3CDTF">2026-01-26T09:08:00Z</dcterms:created>
  <dcterms:modified xsi:type="dcterms:W3CDTF">2026-01-26T09:08:00Z</dcterms:modified>
</cp:coreProperties>
</file>